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36B8AF8C"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226382">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2638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R4-25</w:t>
      </w:r>
      <w:r w:rsidR="00AA7CC3">
        <w:rPr>
          <w:rFonts w:ascii="Arial" w:eastAsiaTheme="minorEastAsia" w:hAnsi="Arial" w:cs="Arial"/>
          <w:b/>
          <w:sz w:val="24"/>
          <w:szCs w:val="24"/>
          <w:lang w:eastAsia="zh-CN"/>
        </w:rPr>
        <w:t>21094</w:t>
      </w:r>
    </w:p>
    <w:p w14:paraId="5EE5A418" w14:textId="77777777" w:rsidR="00805757" w:rsidRDefault="00805757" w:rsidP="00805757">
      <w:pPr>
        <w:spacing w:after="60" w:line="240" w:lineRule="auto"/>
        <w:ind w:left="1985" w:hanging="1985"/>
        <w:rPr>
          <w:rFonts w:ascii="Arial" w:eastAsiaTheme="minorEastAsia" w:hAnsi="Arial" w:cs="Arial"/>
          <w:b/>
          <w:sz w:val="24"/>
          <w:szCs w:val="24"/>
          <w:lang w:eastAsia="zh-CN"/>
        </w:rPr>
      </w:pPr>
      <w:bookmarkStart w:id="1" w:name="_Hlk213319616"/>
      <w:r>
        <w:rPr>
          <w:rFonts w:ascii="Arial" w:hAnsi="Arial" w:cs="Arial"/>
          <w:b/>
          <w:sz w:val="24"/>
          <w:szCs w:val="24"/>
          <w:lang w:eastAsia="zh-CN"/>
        </w:rPr>
        <w:t>Dallas, USA, Nov. 17-21</w:t>
      </w:r>
      <w:r w:rsidRPr="00F542A0">
        <w:rPr>
          <w:rFonts w:ascii="Arial" w:hAnsi="Arial" w:cs="Arial"/>
          <w:b/>
          <w:sz w:val="24"/>
          <w:szCs w:val="24"/>
          <w:lang w:eastAsia="zh-CN"/>
        </w:rPr>
        <w:t>, 20</w:t>
      </w:r>
      <w:bookmarkEnd w:id="1"/>
      <w:r w:rsidRPr="00F542A0">
        <w:rPr>
          <w:rFonts w:ascii="Arial" w:hAnsi="Arial" w:cs="Arial"/>
          <w:b/>
          <w:sz w:val="24"/>
          <w:szCs w:val="24"/>
          <w:lang w:eastAsia="zh-CN"/>
        </w:rPr>
        <w:t>2</w:t>
      </w:r>
      <w:r>
        <w:rPr>
          <w:rFonts w:ascii="Arial" w:hAnsi="Arial"/>
          <w:b/>
          <w:sz w:val="24"/>
          <w:szCs w:val="24"/>
          <w:lang w:eastAsia="zh-CN"/>
        </w:rPr>
        <w:t>5</w:t>
      </w:r>
    </w:p>
    <w:p w14:paraId="100824A0" w14:textId="77777777" w:rsidR="00D81ADA" w:rsidRPr="00082051" w:rsidRDefault="00D81ADA" w:rsidP="00D81ADA">
      <w:pPr>
        <w:spacing w:after="120"/>
        <w:ind w:left="1985" w:hanging="1985"/>
        <w:rPr>
          <w:rFonts w:ascii="Arial" w:eastAsia="MS Mincho" w:hAnsi="Arial" w:cs="Arial"/>
          <w:b/>
          <w:sz w:val="22"/>
        </w:rPr>
      </w:pPr>
    </w:p>
    <w:p w14:paraId="2371B683" w14:textId="6D6AD9B2"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3B22CE">
        <w:rPr>
          <w:rFonts w:ascii="Arial" w:eastAsiaTheme="minorEastAsia" w:hAnsi="Arial" w:cs="Arial"/>
          <w:color w:val="000000"/>
          <w:sz w:val="22"/>
          <w:lang w:eastAsia="zh-CN"/>
        </w:rPr>
        <w:t>10.2.2</w:t>
      </w:r>
    </w:p>
    <w:p w14:paraId="5C7395C2" w14:textId="21740299"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r w:rsidR="00E04B3A">
        <w:rPr>
          <w:rFonts w:ascii="Arial" w:hAnsi="Arial" w:cs="Arial"/>
          <w:color w:val="000000"/>
          <w:sz w:val="22"/>
          <w:lang w:eastAsia="zh-CN"/>
        </w:rPr>
        <w:t>, CHTTL</w:t>
      </w:r>
    </w:p>
    <w:p w14:paraId="594508F8" w14:textId="4FF1DD34"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A7CC3" w:rsidRPr="00AA7CC3">
        <w:rPr>
          <w:rFonts w:ascii="Arial" w:eastAsia="Malgun Gothic" w:hAnsi="Arial" w:cs="Arial"/>
          <w:sz w:val="22"/>
          <w:lang w:eastAsia="ko-KR"/>
        </w:rPr>
        <w:t xml:space="preserve">(NR_PC2_UE_FDD) </w:t>
      </w:r>
      <w:r w:rsidR="00C54E72" w:rsidRPr="00C54E72">
        <w:rPr>
          <w:rFonts w:ascii="Arial" w:eastAsia="Malgun Gothic" w:hAnsi="Arial" w:cs="Arial"/>
          <w:sz w:val="22"/>
          <w:lang w:eastAsia="ko-KR"/>
        </w:rPr>
        <w:t xml:space="preserve">Discussion on </w:t>
      </w:r>
      <w:r w:rsidR="0082665A" w:rsidRPr="0082665A">
        <w:rPr>
          <w:rFonts w:ascii="Arial" w:eastAsia="Malgun Gothic" w:hAnsi="Arial" w:cs="Arial" w:hint="eastAsia"/>
          <w:sz w:val="22"/>
          <w:lang w:eastAsia="ko-KR"/>
        </w:rPr>
        <w:t>SAR</w:t>
      </w:r>
      <w:r w:rsidR="0082665A">
        <w:rPr>
          <w:rFonts w:ascii="Arial" w:eastAsia="Malgun Gothic" w:hAnsi="Arial" w:cs="Arial"/>
          <w:sz w:val="22"/>
          <w:lang w:eastAsia="ko-KR"/>
        </w:rPr>
        <w:t xml:space="preserve"> solution for FDD HPUE</w:t>
      </w:r>
    </w:p>
    <w:p w14:paraId="4875F599" w14:textId="2AC12DAB"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53A6807D" w14:textId="4476B7C4" w:rsidR="007B5A5E" w:rsidRDefault="007B5A5E" w:rsidP="00695B13">
      <w:pPr>
        <w:jc w:val="left"/>
        <w:rPr>
          <w:lang w:eastAsia="zh-CN"/>
        </w:rPr>
      </w:pPr>
      <w:r>
        <w:rPr>
          <w:rFonts w:hint="eastAsia"/>
          <w:lang w:eastAsia="zh-CN"/>
        </w:rPr>
        <w:t>I</w:t>
      </w:r>
      <w:r>
        <w:rPr>
          <w:lang w:eastAsia="zh-CN"/>
        </w:rPr>
        <w:t xml:space="preserve">n Recent RAN4 meetings, the SAR solution for FDD HPUE </w:t>
      </w:r>
      <w:r w:rsidR="00206B07">
        <w:rPr>
          <w:lang w:eastAsia="zh-CN"/>
        </w:rPr>
        <w:t>and the applicability of duty cycle were</w:t>
      </w:r>
      <w:r w:rsidR="008A590F">
        <w:rPr>
          <w:lang w:eastAsia="zh-CN"/>
        </w:rPr>
        <w:t xml:space="preserve"> discussed</w:t>
      </w:r>
      <w:r w:rsidR="00206B07">
        <w:rPr>
          <w:lang w:eastAsia="zh-CN"/>
        </w:rPr>
        <w:t xml:space="preserve"> </w:t>
      </w:r>
      <w:r>
        <w:rPr>
          <w:lang w:eastAsia="zh-CN"/>
        </w:rPr>
        <w:t xml:space="preserve">in </w:t>
      </w:r>
      <w:r w:rsidR="00206B07">
        <w:rPr>
          <w:lang w:eastAsia="zh-CN"/>
        </w:rPr>
        <w:t>the</w:t>
      </w:r>
      <w:r>
        <w:rPr>
          <w:lang w:eastAsia="zh-CN"/>
        </w:rPr>
        <w:t xml:space="preserve"> maintenance agenda</w:t>
      </w:r>
      <w:r w:rsidR="00206B07">
        <w:rPr>
          <w:lang w:eastAsia="zh-CN"/>
        </w:rPr>
        <w:t>s [1] [2]</w:t>
      </w:r>
      <w:r w:rsidR="002949FE">
        <w:rPr>
          <w:lang w:eastAsia="zh-CN"/>
        </w:rPr>
        <w:t xml:space="preserve"> [3]</w:t>
      </w:r>
      <w:r>
        <w:rPr>
          <w:lang w:eastAsia="zh-CN"/>
        </w:rPr>
        <w:t>.</w:t>
      </w:r>
    </w:p>
    <w:p w14:paraId="59CCECDF" w14:textId="2C7AC143" w:rsidR="00114C3B" w:rsidRDefault="004412D7" w:rsidP="00695B13">
      <w:pPr>
        <w:jc w:val="left"/>
        <w:rPr>
          <w:lang w:eastAsia="zh-CN"/>
        </w:rPr>
      </w:pPr>
      <w:r>
        <w:rPr>
          <w:rFonts w:hint="eastAsia"/>
          <w:lang w:eastAsia="zh-CN"/>
        </w:rPr>
        <w:t>The</w:t>
      </w:r>
      <w:r>
        <w:rPr>
          <w:lang w:eastAsia="zh-CN"/>
        </w:rPr>
        <w:t xml:space="preserve"> </w:t>
      </w:r>
      <w:r>
        <w:rPr>
          <w:rFonts w:hint="eastAsia"/>
          <w:lang w:eastAsia="zh-CN"/>
        </w:rPr>
        <w:t>discussion</w:t>
      </w:r>
      <w:r>
        <w:rPr>
          <w:lang w:eastAsia="zh-CN"/>
        </w:rPr>
        <w:t xml:space="preserve"> spreads over both TN and NTN FDD HPUE. For NR NTN, i</w:t>
      </w:r>
      <w:r w:rsidRPr="004412D7">
        <w:rPr>
          <w:lang w:eastAsia="zh-CN"/>
        </w:rPr>
        <w:t xml:space="preserve">n RAN4#116 it was agreed that for the SAR related issues the NR </w:t>
      </w:r>
      <w:r w:rsidR="009739DF">
        <w:rPr>
          <w:lang w:eastAsia="zh-CN"/>
        </w:rPr>
        <w:t xml:space="preserve">TN </w:t>
      </w:r>
      <w:r w:rsidRPr="004412D7">
        <w:rPr>
          <w:lang w:eastAsia="zh-CN"/>
        </w:rPr>
        <w:t>solution should be reused</w:t>
      </w:r>
      <w:r>
        <w:rPr>
          <w:lang w:eastAsia="zh-CN"/>
        </w:rPr>
        <w:t xml:space="preserve"> [4]. So the SAR solution for TN FDD should be clarified first of all.</w:t>
      </w:r>
    </w:p>
    <w:p w14:paraId="72961913" w14:textId="29C26BA7" w:rsidR="00D32905" w:rsidRPr="00CD2D05" w:rsidRDefault="00D32905" w:rsidP="000258D4">
      <w:pPr>
        <w:jc w:val="left"/>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4412D7">
        <w:rPr>
          <w:rFonts w:eastAsiaTheme="minorEastAsia" w:hint="eastAsia"/>
          <w:lang w:eastAsia="zh-CN"/>
        </w:rPr>
        <w:t>look</w:t>
      </w:r>
      <w:r w:rsidR="004412D7">
        <w:rPr>
          <w:rFonts w:eastAsiaTheme="minorEastAsia"/>
          <w:lang w:eastAsia="zh-CN"/>
        </w:rPr>
        <w:t xml:space="preserve"> back at previous discussion on RAN4 SAR solution and aim to align understanding of companies.</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33392EC6" w14:textId="41BE1F77" w:rsidR="009739DF" w:rsidRDefault="00494BA4" w:rsidP="007A2949">
      <w:pPr>
        <w:jc w:val="left"/>
        <w:rPr>
          <w:lang w:eastAsia="zh-CN"/>
        </w:rPr>
      </w:pPr>
      <w:r>
        <w:rPr>
          <w:lang w:eastAsia="zh-CN"/>
        </w:rPr>
        <w:t>Duty cycle as a SAR solution in RAN4 was introduced to spec in the early drop of 1</w:t>
      </w:r>
      <w:r w:rsidRPr="00494BA4">
        <w:rPr>
          <w:vertAlign w:val="superscript"/>
          <w:lang w:eastAsia="zh-CN"/>
        </w:rPr>
        <w:t>st</w:t>
      </w:r>
      <w:r>
        <w:rPr>
          <w:lang w:eastAsia="zh-CN"/>
        </w:rPr>
        <w:t xml:space="preserve"> NR release, as early as 38.101-1 v15.2.0. This issue arises from </w:t>
      </w:r>
      <w:r w:rsidRPr="00494BA4">
        <w:rPr>
          <w:lang w:eastAsia="zh-CN"/>
        </w:rPr>
        <w:t>TDD UL/DL configuration problem raised in RAN4#AH 1801</w:t>
      </w:r>
      <w:r w:rsidR="00F639BE">
        <w:rPr>
          <w:lang w:eastAsia="zh-CN"/>
        </w:rPr>
        <w:t xml:space="preserve"> [5]</w:t>
      </w:r>
      <w:r w:rsidR="0010455A">
        <w:rPr>
          <w:lang w:eastAsia="zh-CN"/>
        </w:rPr>
        <w:t xml:space="preserve">, at that moment there </w:t>
      </w:r>
      <w:r w:rsidR="00E413E0">
        <w:rPr>
          <w:lang w:eastAsia="zh-CN"/>
        </w:rPr>
        <w:t>are</w:t>
      </w:r>
      <w:r w:rsidR="0010455A">
        <w:rPr>
          <w:lang w:eastAsia="zh-CN"/>
        </w:rPr>
        <w:t xml:space="preserve"> only several TDD bands supporting HPUE PC2, as indicated in the LS to RAN2 [6] in RAN4#86bis meeting:</w:t>
      </w:r>
    </w:p>
    <w:tbl>
      <w:tblPr>
        <w:tblStyle w:val="afd"/>
        <w:tblW w:w="0" w:type="auto"/>
        <w:tblLook w:val="04A0" w:firstRow="1" w:lastRow="0" w:firstColumn="1" w:lastColumn="0" w:noHBand="0" w:noVBand="1"/>
      </w:tblPr>
      <w:tblGrid>
        <w:gridCol w:w="9631"/>
      </w:tblGrid>
      <w:tr w:rsidR="0010455A" w14:paraId="2C586864" w14:textId="77777777" w:rsidTr="0010455A">
        <w:tc>
          <w:tcPr>
            <w:tcW w:w="9631" w:type="dxa"/>
          </w:tcPr>
          <w:p w14:paraId="62428B8D" w14:textId="77777777" w:rsidR="00882717" w:rsidRPr="00882717" w:rsidRDefault="00882717" w:rsidP="00882717">
            <w:pPr>
              <w:tabs>
                <w:tab w:val="left" w:pos="6924"/>
              </w:tabs>
              <w:spacing w:after="120"/>
              <w:rPr>
                <w:rFonts w:ascii="Arial" w:hAnsi="Arial" w:cs="Arial"/>
                <w:sz w:val="18"/>
                <w:szCs w:val="18"/>
                <w:lang w:eastAsia="ko-KR"/>
              </w:rPr>
            </w:pPr>
            <w:r w:rsidRPr="00882717">
              <w:rPr>
                <w:rFonts w:ascii="Arial" w:hAnsi="Arial" w:cs="Arial" w:hint="eastAsia"/>
                <w:sz w:val="18"/>
                <w:szCs w:val="18"/>
                <w:lang w:eastAsia="ko-KR"/>
              </w:rPr>
              <w:t xml:space="preserve">RAN4 has discussed how to solve the </w:t>
            </w:r>
            <w:r w:rsidRPr="00882717">
              <w:rPr>
                <w:rFonts w:ascii="Arial" w:eastAsiaTheme="minorEastAsia" w:hAnsi="Arial" w:cs="Arial" w:hint="eastAsia"/>
                <w:sz w:val="18"/>
                <w:szCs w:val="18"/>
                <w:lang w:eastAsia="zh-CN"/>
              </w:rPr>
              <w:t xml:space="preserve">potential </w:t>
            </w:r>
            <w:r w:rsidRPr="00882717">
              <w:rPr>
                <w:rFonts w:ascii="Arial" w:hAnsi="Arial" w:cs="Arial" w:hint="eastAsia"/>
                <w:sz w:val="18"/>
                <w:szCs w:val="18"/>
                <w:highlight w:val="yellow"/>
                <w:lang w:eastAsia="ko-KR"/>
              </w:rPr>
              <w:t>SAR</w:t>
            </w:r>
            <w:r w:rsidRPr="00882717">
              <w:rPr>
                <w:rFonts w:ascii="Arial" w:eastAsiaTheme="minorEastAsia" w:hAnsi="Arial" w:cs="Arial" w:hint="eastAsia"/>
                <w:sz w:val="18"/>
                <w:szCs w:val="18"/>
                <w:highlight w:val="yellow"/>
                <w:lang w:eastAsia="zh-CN"/>
              </w:rPr>
              <w:t xml:space="preserve"> (</w:t>
            </w:r>
            <w:r w:rsidRPr="00882717">
              <w:rPr>
                <w:rFonts w:ascii="Arial" w:eastAsiaTheme="minorEastAsia" w:hAnsi="Arial" w:cs="Arial"/>
                <w:sz w:val="18"/>
                <w:szCs w:val="18"/>
                <w:highlight w:val="yellow"/>
                <w:lang w:eastAsia="zh-CN"/>
              </w:rPr>
              <w:t>Specific Absorption Rate</w:t>
            </w:r>
            <w:r w:rsidRPr="00882717">
              <w:rPr>
                <w:rFonts w:ascii="Arial" w:eastAsiaTheme="minorEastAsia" w:hAnsi="Arial" w:cs="Arial" w:hint="eastAsia"/>
                <w:sz w:val="18"/>
                <w:szCs w:val="18"/>
                <w:highlight w:val="yellow"/>
                <w:lang w:eastAsia="zh-CN"/>
              </w:rPr>
              <w:t>)</w:t>
            </w:r>
            <w:r w:rsidRPr="00882717">
              <w:rPr>
                <w:rFonts w:ascii="Arial" w:hAnsi="Arial" w:cs="Arial" w:hint="eastAsia"/>
                <w:sz w:val="18"/>
                <w:szCs w:val="18"/>
                <w:highlight w:val="yellow"/>
                <w:lang w:eastAsia="ko-KR"/>
              </w:rPr>
              <w:t xml:space="preserve"> issue for </w:t>
            </w:r>
            <w:r w:rsidRPr="00882717">
              <w:rPr>
                <w:rFonts w:ascii="Arial" w:eastAsiaTheme="minorEastAsia" w:hAnsi="Arial" w:cs="Arial" w:hint="eastAsia"/>
                <w:sz w:val="18"/>
                <w:szCs w:val="18"/>
                <w:highlight w:val="yellow"/>
                <w:lang w:eastAsia="zh-CN"/>
              </w:rPr>
              <w:t xml:space="preserve">FR1 </w:t>
            </w:r>
            <w:r w:rsidRPr="00882717">
              <w:rPr>
                <w:rFonts w:ascii="Arial" w:hAnsi="Arial" w:cs="Arial" w:hint="eastAsia"/>
                <w:sz w:val="18"/>
                <w:szCs w:val="18"/>
                <w:highlight w:val="yellow"/>
                <w:lang w:eastAsia="ko-KR"/>
              </w:rPr>
              <w:t>power class 2 UE on Band n41 n77 n78 n79.</w:t>
            </w:r>
            <w:r w:rsidRPr="00882717">
              <w:rPr>
                <w:rFonts w:ascii="Arial" w:hAnsi="Arial" w:cs="Arial" w:hint="eastAsia"/>
                <w:sz w:val="18"/>
                <w:szCs w:val="18"/>
                <w:lang w:eastAsia="ko-KR"/>
              </w:rPr>
              <w:t xml:space="preserve"> </w:t>
            </w:r>
          </w:p>
          <w:p w14:paraId="2DF07E8F" w14:textId="77777777" w:rsidR="00882717" w:rsidRPr="00882717" w:rsidRDefault="00882717" w:rsidP="00882717">
            <w:pPr>
              <w:tabs>
                <w:tab w:val="left" w:pos="6924"/>
              </w:tabs>
              <w:spacing w:after="120"/>
              <w:rPr>
                <w:rFonts w:ascii="Arial" w:hAnsi="Arial" w:cs="Arial"/>
                <w:sz w:val="18"/>
                <w:szCs w:val="18"/>
                <w:lang w:eastAsia="ko-KR"/>
              </w:rPr>
            </w:pPr>
            <w:r w:rsidRPr="00882717">
              <w:rPr>
                <w:rFonts w:ascii="Arial" w:hAnsi="Arial" w:cs="Arial" w:hint="eastAsia"/>
                <w:sz w:val="18"/>
                <w:szCs w:val="18"/>
                <w:lang w:eastAsia="ko-KR"/>
              </w:rPr>
              <w:t xml:space="preserve">It is agreed to introduce a UE capability of </w:t>
            </w:r>
            <w:r w:rsidRPr="00882717">
              <w:rPr>
                <w:rFonts w:ascii="Arial" w:hAnsi="Arial" w:cs="Arial" w:hint="eastAsia"/>
                <w:i/>
                <w:sz w:val="18"/>
                <w:szCs w:val="18"/>
                <w:lang w:eastAsia="ko-KR"/>
              </w:rPr>
              <w:t>maxUplinkDutyCycle</w:t>
            </w:r>
            <w:r w:rsidRPr="00882717">
              <w:rPr>
                <w:rFonts w:ascii="Arial" w:hAnsi="Arial" w:cs="Arial" w:hint="eastAsia"/>
                <w:sz w:val="18"/>
                <w:szCs w:val="18"/>
                <w:lang w:eastAsia="ko-KR"/>
              </w:rPr>
              <w:t xml:space="preserve"> which indicates the maximum percentage of uplink</w:t>
            </w:r>
            <w:r w:rsidRPr="00882717">
              <w:rPr>
                <w:rFonts w:ascii="Arial" w:eastAsiaTheme="minorEastAsia" w:hAnsi="Arial" w:cs="Arial" w:hint="eastAsia"/>
                <w:sz w:val="18"/>
                <w:szCs w:val="18"/>
                <w:lang w:eastAsia="zh-CN"/>
              </w:rPr>
              <w:t xml:space="preserve"> transmission</w:t>
            </w:r>
            <w:r w:rsidRPr="00882717">
              <w:rPr>
                <w:rFonts w:ascii="Arial" w:hAnsi="Arial" w:cs="Arial" w:hint="eastAsia"/>
                <w:sz w:val="18"/>
                <w:szCs w:val="18"/>
                <w:lang w:eastAsia="ko-KR"/>
              </w:rPr>
              <w:t xml:space="preserve"> time that can be scheduled </w:t>
            </w:r>
            <w:r w:rsidRPr="00882717">
              <w:rPr>
                <w:rFonts w:ascii="Arial" w:eastAsiaTheme="minorEastAsia" w:hAnsi="Arial" w:cs="Arial" w:hint="eastAsia"/>
                <w:sz w:val="18"/>
                <w:szCs w:val="18"/>
                <w:lang w:eastAsia="zh-CN"/>
              </w:rPr>
              <w:t>within</w:t>
            </w:r>
            <w:r w:rsidRPr="00882717">
              <w:rPr>
                <w:rFonts w:ascii="Arial" w:hAnsi="Arial" w:cs="Arial" w:hint="eastAsia"/>
                <w:sz w:val="18"/>
                <w:szCs w:val="18"/>
                <w:lang w:eastAsia="ko-KR"/>
              </w:rPr>
              <w:t xml:space="preserve"> [TBD]ms to ensure compliance with applicable electromagnetic energy absorption requirements</w:t>
            </w:r>
            <w:r w:rsidRPr="00882717">
              <w:rPr>
                <w:rFonts w:ascii="Arial" w:eastAsiaTheme="minorEastAsia" w:hAnsi="Arial" w:cs="Arial" w:hint="eastAsia"/>
                <w:sz w:val="18"/>
                <w:szCs w:val="18"/>
                <w:lang w:eastAsia="zh-CN"/>
              </w:rPr>
              <w:t xml:space="preserve"> provided by regulatory bodies</w:t>
            </w:r>
            <w:r w:rsidRPr="00882717">
              <w:rPr>
                <w:rFonts w:ascii="Arial" w:hAnsi="Arial" w:cs="Arial" w:hint="eastAsia"/>
                <w:sz w:val="18"/>
                <w:szCs w:val="18"/>
                <w:lang w:eastAsia="ko-KR"/>
              </w:rPr>
              <w:t xml:space="preserve">. </w:t>
            </w:r>
          </w:p>
          <w:p w14:paraId="7E3401B9" w14:textId="77777777" w:rsidR="00882717" w:rsidRPr="00882717" w:rsidRDefault="00882717" w:rsidP="00882717">
            <w:pPr>
              <w:tabs>
                <w:tab w:val="left" w:pos="6924"/>
              </w:tabs>
              <w:spacing w:after="120"/>
              <w:rPr>
                <w:rFonts w:ascii="Arial" w:hAnsi="Arial" w:cs="Arial"/>
                <w:sz w:val="18"/>
                <w:szCs w:val="18"/>
                <w:lang w:eastAsia="ko-KR"/>
              </w:rPr>
            </w:pPr>
            <w:r w:rsidRPr="00882717">
              <w:rPr>
                <w:rFonts w:ascii="Arial" w:hAnsi="Arial" w:cs="Arial"/>
                <w:sz w:val="18"/>
                <w:szCs w:val="18"/>
                <w:lang w:eastAsia="ko-KR"/>
              </w:rPr>
              <w:t xml:space="preserve">For a </w:t>
            </w:r>
            <w:r w:rsidRPr="00882717">
              <w:rPr>
                <w:rFonts w:ascii="Arial" w:eastAsiaTheme="minorEastAsia" w:hAnsi="Arial" w:cs="Arial" w:hint="eastAsia"/>
                <w:sz w:val="18"/>
                <w:szCs w:val="18"/>
                <w:lang w:eastAsia="zh-CN"/>
              </w:rPr>
              <w:t xml:space="preserve">FR1 </w:t>
            </w:r>
            <w:r w:rsidRPr="00882717">
              <w:rPr>
                <w:rFonts w:ascii="Arial" w:hAnsi="Arial" w:cs="Arial"/>
                <w:sz w:val="18"/>
                <w:szCs w:val="18"/>
                <w:lang w:eastAsia="ko-KR"/>
              </w:rPr>
              <w:t>power class 2 capable UE operating on Band n41 n77 n78 n79, when the percentage of uplink</w:t>
            </w:r>
            <w:r w:rsidRPr="00882717">
              <w:rPr>
                <w:rFonts w:ascii="Arial" w:eastAsiaTheme="minorEastAsia" w:hAnsi="Arial" w:cs="Arial" w:hint="eastAsia"/>
                <w:sz w:val="18"/>
                <w:szCs w:val="18"/>
                <w:lang w:eastAsia="zh-CN"/>
              </w:rPr>
              <w:t xml:space="preserve"> transmission</w:t>
            </w:r>
            <w:r w:rsidRPr="00882717">
              <w:rPr>
                <w:rFonts w:ascii="Arial" w:hAnsi="Arial" w:cs="Arial"/>
                <w:sz w:val="18"/>
                <w:szCs w:val="18"/>
                <w:lang w:eastAsia="ko-KR"/>
              </w:rPr>
              <w:t xml:space="preserve"> time scheduled by the network </w:t>
            </w:r>
            <w:r w:rsidRPr="00882717">
              <w:rPr>
                <w:rFonts w:ascii="Arial" w:eastAsiaTheme="minorEastAsia" w:hAnsi="Arial" w:cs="Arial" w:hint="eastAsia"/>
                <w:sz w:val="18"/>
                <w:szCs w:val="18"/>
                <w:lang w:eastAsia="zh-CN"/>
              </w:rPr>
              <w:t>with</w:t>
            </w:r>
            <w:r w:rsidRPr="00882717">
              <w:rPr>
                <w:rFonts w:ascii="Arial" w:hAnsi="Arial" w:cs="Arial"/>
                <w:sz w:val="18"/>
                <w:szCs w:val="18"/>
                <w:lang w:eastAsia="ko-KR"/>
              </w:rPr>
              <w:t xml:space="preserve">in </w:t>
            </w:r>
            <w:r w:rsidRPr="00882717">
              <w:rPr>
                <w:rFonts w:ascii="Arial" w:hAnsi="Arial" w:cs="Arial" w:hint="eastAsia"/>
                <w:sz w:val="18"/>
                <w:szCs w:val="18"/>
                <w:lang w:eastAsia="ko-KR"/>
              </w:rPr>
              <w:t xml:space="preserve">an evaluation period </w:t>
            </w:r>
            <w:r w:rsidRPr="00882717">
              <w:rPr>
                <w:rFonts w:ascii="Arial" w:hAnsi="Arial" w:cs="Arial"/>
                <w:sz w:val="18"/>
                <w:szCs w:val="18"/>
                <w:lang w:eastAsia="ko-KR"/>
              </w:rPr>
              <w:t>[TBD]ms is larger than its capability</w:t>
            </w:r>
            <w:r w:rsidRPr="00882717">
              <w:rPr>
                <w:rFonts w:ascii="Arial" w:eastAsiaTheme="minorEastAsia" w:hAnsi="Arial" w:cs="Arial" w:hint="eastAsia"/>
                <w:sz w:val="18"/>
                <w:szCs w:val="18"/>
                <w:lang w:eastAsia="zh-CN"/>
              </w:rPr>
              <w:t xml:space="preserve">, i.e., </w:t>
            </w:r>
            <w:r w:rsidRPr="00882717">
              <w:rPr>
                <w:rFonts w:ascii="Arial" w:eastAsiaTheme="minorEastAsia" w:hAnsi="Arial" w:cs="Arial"/>
                <w:i/>
                <w:sz w:val="18"/>
                <w:szCs w:val="18"/>
                <w:lang w:eastAsia="zh-CN"/>
              </w:rPr>
              <w:t>maxUplinkDutyCycle</w:t>
            </w:r>
            <w:r w:rsidRPr="00882717">
              <w:rPr>
                <w:rFonts w:ascii="Arial" w:hAnsi="Arial" w:cs="Arial"/>
                <w:sz w:val="18"/>
                <w:szCs w:val="18"/>
                <w:lang w:eastAsia="ko-KR"/>
              </w:rPr>
              <w:t>,</w:t>
            </w:r>
            <w:r w:rsidRPr="00882717">
              <w:rPr>
                <w:rFonts w:ascii="Arial" w:hAnsi="Arial" w:cs="Arial" w:hint="eastAsia"/>
                <w:sz w:val="18"/>
                <w:szCs w:val="18"/>
                <w:lang w:eastAsia="ko-KR"/>
              </w:rPr>
              <w:t xml:space="preserve"> </w:t>
            </w:r>
            <w:r w:rsidRPr="00882717">
              <w:rPr>
                <w:rFonts w:ascii="Arial" w:hAnsi="Arial" w:cs="Arial"/>
                <w:sz w:val="18"/>
                <w:szCs w:val="18"/>
                <w:lang w:eastAsia="ko-KR"/>
              </w:rPr>
              <w:t xml:space="preserve">the requirements for </w:t>
            </w:r>
            <w:r w:rsidRPr="00882717">
              <w:rPr>
                <w:rFonts w:ascii="Arial" w:eastAsiaTheme="minorEastAsia" w:hAnsi="Arial" w:cs="Arial" w:hint="eastAsia"/>
                <w:sz w:val="18"/>
                <w:szCs w:val="18"/>
                <w:lang w:eastAsia="zh-CN"/>
              </w:rPr>
              <w:t xml:space="preserve">FR1 </w:t>
            </w:r>
            <w:r w:rsidRPr="00882717">
              <w:rPr>
                <w:rFonts w:ascii="Arial" w:hAnsi="Arial" w:cs="Arial"/>
                <w:sz w:val="18"/>
                <w:szCs w:val="18"/>
                <w:lang w:eastAsia="ko-KR"/>
              </w:rPr>
              <w:t xml:space="preserve">power class 2 are not applicable, and the corresponding requirements for a </w:t>
            </w:r>
            <w:r w:rsidRPr="00882717">
              <w:rPr>
                <w:rFonts w:ascii="Arial" w:eastAsiaTheme="minorEastAsia" w:hAnsi="Arial" w:cs="Arial" w:hint="eastAsia"/>
                <w:sz w:val="18"/>
                <w:szCs w:val="18"/>
                <w:lang w:eastAsia="zh-CN"/>
              </w:rPr>
              <w:t xml:space="preserve">FR1 </w:t>
            </w:r>
            <w:r w:rsidRPr="00882717">
              <w:rPr>
                <w:rFonts w:ascii="Arial" w:hAnsi="Arial" w:cs="Arial"/>
                <w:sz w:val="18"/>
                <w:szCs w:val="18"/>
                <w:lang w:eastAsia="ko-KR"/>
              </w:rPr>
              <w:t xml:space="preserve">power class 3 UE shall apply. </w:t>
            </w:r>
          </w:p>
          <w:p w14:paraId="57A9E8E4" w14:textId="369151DD" w:rsidR="00882717" w:rsidRPr="0010455A" w:rsidRDefault="00882717" w:rsidP="00882717">
            <w:pPr>
              <w:tabs>
                <w:tab w:val="left" w:pos="6924"/>
              </w:tabs>
              <w:spacing w:after="120"/>
              <w:rPr>
                <w:lang w:eastAsia="zh-CN"/>
              </w:rPr>
            </w:pPr>
            <w:r w:rsidRPr="00882717">
              <w:rPr>
                <w:rFonts w:ascii="Arial" w:hAnsi="Arial" w:cs="Arial" w:hint="eastAsia"/>
                <w:sz w:val="18"/>
                <w:szCs w:val="18"/>
                <w:lang w:eastAsia="ko-KR"/>
              </w:rPr>
              <w:t xml:space="preserve">The </w:t>
            </w:r>
            <w:r w:rsidRPr="00882717">
              <w:rPr>
                <w:rFonts w:ascii="Arial" w:hAnsi="Arial" w:cs="Arial"/>
                <w:sz w:val="18"/>
                <w:szCs w:val="18"/>
                <w:lang w:eastAsia="ko-KR"/>
              </w:rPr>
              <w:t>capability</w:t>
            </w:r>
            <w:r w:rsidRPr="00882717">
              <w:rPr>
                <w:rFonts w:ascii="Arial" w:hAnsi="Arial" w:cs="Arial" w:hint="eastAsia"/>
                <w:sz w:val="18"/>
                <w:szCs w:val="18"/>
                <w:lang w:eastAsia="ko-KR"/>
              </w:rPr>
              <w:t xml:space="preserve"> of </w:t>
            </w:r>
            <w:r w:rsidRPr="00882717">
              <w:rPr>
                <w:rFonts w:ascii="Arial" w:hAnsi="Arial" w:cs="Arial" w:hint="eastAsia"/>
                <w:i/>
                <w:sz w:val="18"/>
                <w:szCs w:val="18"/>
                <w:lang w:eastAsia="ko-KR"/>
              </w:rPr>
              <w:t>maxUplinkDutyCycle</w:t>
            </w:r>
            <w:r w:rsidRPr="00882717">
              <w:rPr>
                <w:rFonts w:ascii="Arial" w:hAnsi="Arial" w:cs="Arial" w:hint="eastAsia"/>
                <w:sz w:val="18"/>
                <w:szCs w:val="18"/>
                <w:lang w:eastAsia="ko-KR"/>
              </w:rPr>
              <w:t xml:space="preserve"> is reported by UE as a per band capability. The </w:t>
            </w:r>
            <w:r w:rsidRPr="00882717">
              <w:rPr>
                <w:rFonts w:ascii="Arial" w:hAnsi="Arial" w:cs="Arial"/>
                <w:sz w:val="18"/>
                <w:szCs w:val="18"/>
                <w:lang w:eastAsia="ko-KR"/>
              </w:rPr>
              <w:t>granularity</w:t>
            </w:r>
            <w:r w:rsidRPr="00882717">
              <w:rPr>
                <w:rFonts w:ascii="Arial" w:hAnsi="Arial" w:cs="Arial" w:hint="eastAsia"/>
                <w:sz w:val="18"/>
                <w:szCs w:val="18"/>
                <w:lang w:eastAsia="ko-KR"/>
              </w:rPr>
              <w:t xml:space="preserve"> is 10%. For FR1 power class2 UE, the minimum value is 50%, and if the capability is absent, 50% </w:t>
            </w:r>
            <w:r w:rsidRPr="00882717">
              <w:rPr>
                <w:rFonts w:ascii="Arial" w:eastAsiaTheme="minorEastAsia" w:hAnsi="Arial" w:cs="Arial" w:hint="eastAsia"/>
                <w:sz w:val="18"/>
                <w:szCs w:val="18"/>
                <w:lang w:eastAsia="zh-CN"/>
              </w:rPr>
              <w:t>shall be</w:t>
            </w:r>
            <w:r w:rsidRPr="00882717">
              <w:rPr>
                <w:rFonts w:ascii="Arial" w:hAnsi="Arial" w:cs="Arial" w:hint="eastAsia"/>
                <w:sz w:val="18"/>
                <w:szCs w:val="18"/>
                <w:lang w:eastAsia="ko-KR"/>
              </w:rPr>
              <w:t xml:space="preserve"> applied. The detailed </w:t>
            </w:r>
            <w:r w:rsidRPr="00882717">
              <w:rPr>
                <w:rFonts w:ascii="Arial" w:hAnsi="Arial" w:cs="Arial"/>
                <w:sz w:val="18"/>
                <w:szCs w:val="18"/>
                <w:lang w:eastAsia="ko-KR"/>
              </w:rPr>
              <w:t>signalling</w:t>
            </w:r>
            <w:r w:rsidRPr="00882717">
              <w:rPr>
                <w:rFonts w:ascii="Arial" w:hAnsi="Arial" w:cs="Arial" w:hint="eastAsia"/>
                <w:sz w:val="18"/>
                <w:szCs w:val="18"/>
                <w:lang w:eastAsia="ko-KR"/>
              </w:rPr>
              <w:t xml:space="preserve"> design is up to RAN2.</w:t>
            </w:r>
          </w:p>
        </w:tc>
      </w:tr>
    </w:tbl>
    <w:p w14:paraId="64A041FA" w14:textId="77777777" w:rsidR="0010455A" w:rsidRDefault="0010455A" w:rsidP="007A2949">
      <w:pPr>
        <w:jc w:val="left"/>
        <w:rPr>
          <w:lang w:eastAsia="zh-CN"/>
        </w:rPr>
      </w:pPr>
    </w:p>
    <w:p w14:paraId="65CA6660" w14:textId="3EE75F74" w:rsidR="0010455A" w:rsidRDefault="0010455A" w:rsidP="007A2949">
      <w:pPr>
        <w:jc w:val="left"/>
        <w:rPr>
          <w:lang w:eastAsia="zh-CN"/>
        </w:rPr>
      </w:pPr>
      <w:r>
        <w:rPr>
          <w:lang w:eastAsia="zh-CN"/>
        </w:rPr>
        <w:t xml:space="preserve">For a long time HPUE is only applicable for TDD bands. </w:t>
      </w:r>
      <w:r>
        <w:rPr>
          <w:rFonts w:hint="eastAsia"/>
          <w:lang w:eastAsia="zh-CN"/>
        </w:rPr>
        <w:t>S</w:t>
      </w:r>
      <w:r>
        <w:rPr>
          <w:lang w:eastAsia="zh-CN"/>
        </w:rPr>
        <w:t xml:space="preserve">everal years later RAN4 starts to discuss FDD HPUE PC2 in Rel-17. </w:t>
      </w:r>
      <w:r w:rsidR="00882717">
        <w:rPr>
          <w:lang w:eastAsia="zh-CN"/>
        </w:rPr>
        <w:t>The conclusion on SAR solution was recorded in TR 38.861 [7]:</w:t>
      </w:r>
    </w:p>
    <w:tbl>
      <w:tblPr>
        <w:tblStyle w:val="afd"/>
        <w:tblW w:w="0" w:type="auto"/>
        <w:tblLook w:val="04A0" w:firstRow="1" w:lastRow="0" w:firstColumn="1" w:lastColumn="0" w:noHBand="0" w:noVBand="1"/>
      </w:tblPr>
      <w:tblGrid>
        <w:gridCol w:w="9631"/>
      </w:tblGrid>
      <w:tr w:rsidR="00882717" w14:paraId="335B49C4" w14:textId="77777777" w:rsidTr="00882717">
        <w:tc>
          <w:tcPr>
            <w:tcW w:w="9631" w:type="dxa"/>
          </w:tcPr>
          <w:p w14:paraId="0FB87B35" w14:textId="17C6E21A" w:rsidR="00882717" w:rsidRPr="00882717" w:rsidRDefault="00882717" w:rsidP="00882717">
            <w:pPr>
              <w:rPr>
                <w:lang w:eastAsia="zh-CN"/>
              </w:rPr>
            </w:pPr>
            <w:r>
              <w:rPr>
                <w:lang w:eastAsia="zh-CN"/>
              </w:rPr>
              <w:t xml:space="preserve">To accommodate the SAR limits of the NR PC2 FDD High Power UE, both UE-based and network-based solutions are considered in the study phase. For UE-based solution, the UE implementation </w:t>
            </w:r>
            <w:r w:rsidRPr="005111DD">
              <w:rPr>
                <w:lang w:eastAsia="zh-CN"/>
              </w:rPr>
              <w:t>based mechanism is u</w:t>
            </w:r>
            <w:r>
              <w:rPr>
                <w:lang w:eastAsia="zh-CN"/>
              </w:rPr>
              <w:t xml:space="preserve">sed to ensure SAR compliance. In addition to UE-based solution, an optional method of reporting duty-cycle capability </w:t>
            </w:r>
            <w:r w:rsidRPr="00D63262">
              <w:rPr>
                <w:lang w:eastAsia="zh-CN"/>
              </w:rPr>
              <w:t>was also intensively discussed, but</w:t>
            </w:r>
            <w:r w:rsidRPr="008739EF">
              <w:rPr>
                <w:lang w:eastAsia="zh-CN"/>
              </w:rPr>
              <w:t xml:space="preserve"> </w:t>
            </w:r>
            <w:r w:rsidRPr="00D63262">
              <w:rPr>
                <w:lang w:eastAsia="zh-CN"/>
              </w:rPr>
              <w:t>there is no conclusion reached.</w:t>
            </w:r>
          </w:p>
        </w:tc>
      </w:tr>
    </w:tbl>
    <w:p w14:paraId="4D45B52A" w14:textId="245D4EE8" w:rsidR="00882717" w:rsidRDefault="00882717" w:rsidP="007A2949">
      <w:pPr>
        <w:jc w:val="left"/>
        <w:rPr>
          <w:lang w:eastAsia="zh-CN"/>
        </w:rPr>
      </w:pPr>
    </w:p>
    <w:p w14:paraId="2AA8E7C2" w14:textId="166ED593" w:rsidR="006F14D3" w:rsidRDefault="006F14D3" w:rsidP="007A2949">
      <w:pPr>
        <w:jc w:val="left"/>
        <w:rPr>
          <w:lang w:eastAsia="zh-CN"/>
        </w:rPr>
      </w:pPr>
      <w:r>
        <w:rPr>
          <w:rFonts w:hint="eastAsia"/>
          <w:lang w:eastAsia="zh-CN"/>
        </w:rPr>
        <w:t>B</w:t>
      </w:r>
      <w:r>
        <w:rPr>
          <w:lang w:eastAsia="zh-CN"/>
        </w:rPr>
        <w:t xml:space="preserve">ased on the TR conclusion, the feature CR for FDD HPUE does not touch the duty cycle part as everyone has the common understanding that duty cycle does not apply to FDD and previously defined duty cycle capability was in the </w:t>
      </w:r>
      <w:r>
        <w:rPr>
          <w:lang w:eastAsia="zh-CN"/>
        </w:rPr>
        <w:lastRenderedPageBreak/>
        <w:t>context of TDD only. As a result, it seems that the TR conclusion and TS specification are misaligned</w:t>
      </w:r>
      <w:r w:rsidR="00D911C2">
        <w:rPr>
          <w:lang w:eastAsia="zh-CN"/>
        </w:rPr>
        <w:t xml:space="preserve"> unfortunately</w:t>
      </w:r>
      <w:r>
        <w:rPr>
          <w:lang w:eastAsia="zh-CN"/>
        </w:rPr>
        <w:t>. This is an overlook rather than companies view change compared with TR.</w:t>
      </w:r>
    </w:p>
    <w:p w14:paraId="14E0E8E4" w14:textId="122D20FA" w:rsidR="006F14D3" w:rsidRDefault="006F14D3" w:rsidP="006F14D3">
      <w:pPr>
        <w:spacing w:after="120"/>
        <w:ind w:left="1418" w:hanging="1418"/>
        <w:rPr>
          <w:b/>
          <w:bCs/>
          <w:lang w:eastAsia="zh-CN"/>
        </w:rPr>
      </w:pPr>
      <w:r>
        <w:rPr>
          <w:b/>
          <w:bCs/>
        </w:rPr>
        <w:t>Observation 1</w:t>
      </w:r>
      <w:r w:rsidRPr="00DF1B01">
        <w:rPr>
          <w:b/>
          <w:bCs/>
        </w:rPr>
        <w:t>:</w:t>
      </w:r>
      <w:r w:rsidRPr="00DF1B01">
        <w:rPr>
          <w:b/>
          <w:bCs/>
        </w:rPr>
        <w:tab/>
      </w:r>
      <w:r w:rsidR="00633E45">
        <w:rPr>
          <w:b/>
          <w:bCs/>
          <w:lang w:eastAsia="zh-CN"/>
        </w:rPr>
        <w:t>The misalignment between TR and TS on duty cycle applicability to FDD HPUE is caused by overlook due to the long-time gap between TDD HPUE and FDD HPUE introduction in RAN4.</w:t>
      </w:r>
    </w:p>
    <w:p w14:paraId="6D950B99" w14:textId="6C395955" w:rsidR="006F14D3" w:rsidRDefault="00112437" w:rsidP="007A2949">
      <w:pPr>
        <w:jc w:val="left"/>
        <w:rPr>
          <w:lang w:eastAsia="zh-CN"/>
        </w:rPr>
      </w:pPr>
      <w:r>
        <w:rPr>
          <w:lang w:eastAsia="zh-CN"/>
        </w:rPr>
        <w:t xml:space="preserve">Different from NR FDD, companies are well aligned on LTE FDD in terms of SAR solution, where duty cycle solution applied on LTE TDD HPUE </w:t>
      </w:r>
      <w:r w:rsidR="00790DC4">
        <w:rPr>
          <w:lang w:eastAsia="zh-CN"/>
        </w:rPr>
        <w:t>and</w:t>
      </w:r>
      <w:r>
        <w:rPr>
          <w:lang w:eastAsia="zh-CN"/>
        </w:rPr>
        <w:t xml:space="preserve"> no duty cycle applied on LTE FDD HPUE. </w:t>
      </w:r>
      <w:r w:rsidR="00790DC4">
        <w:rPr>
          <w:lang w:eastAsia="zh-CN"/>
        </w:rPr>
        <w:t>In Rel-18, FDD HPUE on Band 14 was introduced (</w:t>
      </w:r>
      <w:r w:rsidR="00790DC4" w:rsidRPr="00790DC4">
        <w:rPr>
          <w:lang w:eastAsia="zh-CN"/>
        </w:rPr>
        <w:t>HPUE_LTE_FDD_B14</w:t>
      </w:r>
      <w:r w:rsidR="00790DC4">
        <w:rPr>
          <w:lang w:eastAsia="zh-CN"/>
        </w:rPr>
        <w:t>), and the corresponding TR36.770</w:t>
      </w:r>
      <w:r w:rsidR="00682A04">
        <w:rPr>
          <w:lang w:eastAsia="zh-CN"/>
        </w:rPr>
        <w:t xml:space="preserve"> [8]</w:t>
      </w:r>
      <w:r w:rsidR="00790DC4">
        <w:rPr>
          <w:lang w:eastAsia="zh-CN"/>
        </w:rPr>
        <w:t xml:space="preserve"> also ha</w:t>
      </w:r>
      <w:r w:rsidR="002E69B5">
        <w:rPr>
          <w:lang w:eastAsia="zh-CN"/>
        </w:rPr>
        <w:t>s</w:t>
      </w:r>
      <w:r w:rsidR="00790DC4">
        <w:rPr>
          <w:lang w:eastAsia="zh-CN"/>
        </w:rPr>
        <w:t xml:space="preserve"> the following conclusion on SAR solution:</w:t>
      </w:r>
    </w:p>
    <w:tbl>
      <w:tblPr>
        <w:tblStyle w:val="afd"/>
        <w:tblW w:w="0" w:type="auto"/>
        <w:tblLook w:val="04A0" w:firstRow="1" w:lastRow="0" w:firstColumn="1" w:lastColumn="0" w:noHBand="0" w:noVBand="1"/>
      </w:tblPr>
      <w:tblGrid>
        <w:gridCol w:w="9631"/>
      </w:tblGrid>
      <w:tr w:rsidR="00790DC4" w14:paraId="1B3E64E7" w14:textId="77777777" w:rsidTr="00790DC4">
        <w:tc>
          <w:tcPr>
            <w:tcW w:w="9631" w:type="dxa"/>
          </w:tcPr>
          <w:p w14:paraId="072E3A3B" w14:textId="77777777" w:rsidR="00790DC4" w:rsidRDefault="00790DC4" w:rsidP="00790DC4">
            <w:pPr>
              <w:pStyle w:val="1"/>
              <w:outlineLvl w:val="0"/>
            </w:pPr>
            <w:bookmarkStart w:id="2" w:name="_Toc161031259"/>
            <w:r>
              <w:t>5</w:t>
            </w:r>
            <w:r>
              <w:tab/>
              <w:t>SAR Scheme</w:t>
            </w:r>
            <w:bookmarkEnd w:id="2"/>
          </w:p>
          <w:p w14:paraId="137CA3E1" w14:textId="77777777" w:rsidR="00790DC4" w:rsidRDefault="00790DC4" w:rsidP="00790DC4">
            <w:pPr>
              <w:pStyle w:val="2"/>
              <w:outlineLvl w:val="1"/>
            </w:pPr>
            <w:bookmarkStart w:id="3" w:name="_Toc161031260"/>
            <w:r>
              <w:t>5.1</w:t>
            </w:r>
            <w:r>
              <w:tab/>
              <w:t>UE-Based Solution</w:t>
            </w:r>
            <w:bookmarkEnd w:id="3"/>
          </w:p>
          <w:p w14:paraId="2FA7BC4A" w14:textId="77777777" w:rsidR="00790DC4" w:rsidRPr="000B73CA" w:rsidRDefault="00790DC4" w:rsidP="00790DC4">
            <w:r w:rsidRPr="003F2A58">
              <w:t xml:space="preserve">To accommodate the SAR limits of the </w:t>
            </w:r>
            <w:r>
              <w:t>E-UTRA</w:t>
            </w:r>
            <w:r w:rsidRPr="003F2A58">
              <w:t xml:space="preserve"> PC2 FDD High Power UE, </w:t>
            </w:r>
            <w:r w:rsidRPr="00790DC4">
              <w:rPr>
                <w:highlight w:val="yellow"/>
              </w:rPr>
              <w:t>only</w:t>
            </w:r>
            <w:r>
              <w:t xml:space="preserve"> the </w:t>
            </w:r>
            <w:r w:rsidRPr="003F2A58">
              <w:t xml:space="preserve">UE-based </w:t>
            </w:r>
            <w:r>
              <w:t>s</w:t>
            </w:r>
            <w:r w:rsidRPr="003F2A58">
              <w:t xml:space="preserve">olution </w:t>
            </w:r>
            <w:r>
              <w:t>is</w:t>
            </w:r>
            <w:r w:rsidRPr="003F2A58">
              <w:t xml:space="preserve"> considered. </w:t>
            </w:r>
            <w:r>
              <w:t>T</w:t>
            </w:r>
            <w:r w:rsidRPr="003F2A58">
              <w:t>he UE implementation-based mechanism is used to ensure SAR compliance</w:t>
            </w:r>
            <w:r>
              <w:t xml:space="preserve"> (</w:t>
            </w:r>
            <w:r w:rsidRPr="00790DC4">
              <w:rPr>
                <w:highlight w:val="yellow"/>
              </w:rPr>
              <w:t>i.e., P-MPR</w:t>
            </w:r>
            <w:r>
              <w:t>)</w:t>
            </w:r>
            <w:r w:rsidRPr="003F2A58">
              <w:t>.</w:t>
            </w:r>
          </w:p>
          <w:p w14:paraId="63B0B9E8" w14:textId="77777777" w:rsidR="00790DC4" w:rsidRDefault="00790DC4" w:rsidP="00790DC4">
            <w:pPr>
              <w:rPr>
                <w:rFonts w:eastAsiaTheme="minorEastAsia"/>
                <w:lang w:eastAsia="zh-CN"/>
              </w:rPr>
            </w:pPr>
            <w:r>
              <w:rPr>
                <w:rFonts w:eastAsiaTheme="minorEastAsia"/>
                <w:lang w:eastAsia="zh-CN"/>
              </w:rPr>
              <w:t>……</w:t>
            </w:r>
          </w:p>
          <w:p w14:paraId="0DD8E99A" w14:textId="77777777" w:rsidR="00790DC4" w:rsidRDefault="00790DC4" w:rsidP="00790DC4">
            <w:pPr>
              <w:pStyle w:val="1"/>
              <w:outlineLvl w:val="0"/>
            </w:pPr>
            <w:bookmarkStart w:id="4" w:name="_Toc161031270"/>
            <w:r>
              <w:t>8</w:t>
            </w:r>
            <w:r>
              <w:tab/>
              <w:t>Conclusions</w:t>
            </w:r>
            <w:bookmarkEnd w:id="4"/>
          </w:p>
          <w:p w14:paraId="55867723" w14:textId="77777777" w:rsidR="00790DC4" w:rsidRDefault="00790DC4" w:rsidP="00790DC4">
            <w:r>
              <w:t>In this work item, different aspects of enabling PC2 in NR FDD band 14 were addressed. The contents of the work included the applicable schemes to comply with SAR limits with 26dBm UE Tx power, the maximum output power limits, A-MPR requirements, the REFSENS degradation raised by FDD PC2, and UE implementations.</w:t>
            </w:r>
          </w:p>
          <w:p w14:paraId="5691322A" w14:textId="200A94A3" w:rsidR="00790DC4" w:rsidRPr="00790DC4" w:rsidRDefault="00790DC4" w:rsidP="00790DC4">
            <w:pPr>
              <w:rPr>
                <w:rFonts w:eastAsiaTheme="minorEastAsia"/>
                <w:lang w:eastAsia="zh-CN"/>
              </w:rPr>
            </w:pPr>
            <w:r w:rsidRPr="008F3BAB">
              <w:t xml:space="preserve">To accommodate the SAR limits of the E-UTRA PC2 FDD High Power UE, </w:t>
            </w:r>
            <w:r w:rsidRPr="00790DC4">
              <w:rPr>
                <w:highlight w:val="yellow"/>
              </w:rPr>
              <w:t>only</w:t>
            </w:r>
            <w:r w:rsidRPr="008F3BAB">
              <w:t xml:space="preserve"> the UE-based solution </w:t>
            </w:r>
            <w:r>
              <w:t>was</w:t>
            </w:r>
            <w:r w:rsidRPr="008F3BAB">
              <w:t xml:space="preserve"> considered. </w:t>
            </w:r>
            <w:r>
              <w:t xml:space="preserve">The UE-implementation based methods </w:t>
            </w:r>
            <w:r w:rsidRPr="008F3BAB">
              <w:t>(</w:t>
            </w:r>
            <w:r w:rsidRPr="00790DC4">
              <w:rPr>
                <w:highlight w:val="yellow"/>
              </w:rPr>
              <w:t>i.e., P-MPR</w:t>
            </w:r>
            <w:r w:rsidRPr="008F3BAB">
              <w:t>)</w:t>
            </w:r>
            <w:r>
              <w:t xml:space="preserve"> are considered feasible to make sure SAR regulation is not violated.</w:t>
            </w:r>
          </w:p>
        </w:tc>
      </w:tr>
    </w:tbl>
    <w:p w14:paraId="3F5C3703" w14:textId="77777777" w:rsidR="00790DC4" w:rsidRPr="006F14D3" w:rsidRDefault="00790DC4" w:rsidP="007A2949">
      <w:pPr>
        <w:jc w:val="left"/>
        <w:rPr>
          <w:lang w:eastAsia="zh-CN"/>
        </w:rPr>
      </w:pPr>
    </w:p>
    <w:p w14:paraId="0C571DF5" w14:textId="2908C50D" w:rsidR="006F14D3" w:rsidRPr="00633E45" w:rsidRDefault="004D4991" w:rsidP="007A2949">
      <w:pPr>
        <w:jc w:val="left"/>
        <w:rPr>
          <w:lang w:eastAsia="zh-CN"/>
        </w:rPr>
      </w:pPr>
      <w:r>
        <w:rPr>
          <w:lang w:eastAsia="zh-CN"/>
        </w:rPr>
        <w:t>Generally speaking, there is no fundamental differen</w:t>
      </w:r>
      <w:r w:rsidR="0008731D">
        <w:rPr>
          <w:rFonts w:hint="eastAsia"/>
          <w:lang w:eastAsia="zh-CN"/>
        </w:rPr>
        <w:t>ce</w:t>
      </w:r>
      <w:r>
        <w:rPr>
          <w:lang w:eastAsia="zh-CN"/>
        </w:rPr>
        <w:t xml:space="preserve"> in terms of SAR compliance between LTE FDD and NR FDD. It is not reasonable that LTE FDD PC2 was tested with full uplink duty cycle but NR FDD PC2 would be further relaxed to be tested with partial uplink duty cycle.</w:t>
      </w:r>
    </w:p>
    <w:p w14:paraId="15FB7087" w14:textId="1EC7B2B3" w:rsidR="004D4991" w:rsidRDefault="004D4991" w:rsidP="004D4991">
      <w:pPr>
        <w:spacing w:after="120"/>
        <w:ind w:left="1418" w:hanging="1418"/>
        <w:rPr>
          <w:b/>
          <w:bCs/>
          <w:lang w:eastAsia="zh-CN"/>
        </w:rPr>
      </w:pPr>
      <w:r>
        <w:rPr>
          <w:b/>
          <w:bCs/>
        </w:rPr>
        <w:t>Observation 2</w:t>
      </w:r>
      <w:r w:rsidRPr="00DF1B01">
        <w:rPr>
          <w:b/>
          <w:bCs/>
        </w:rPr>
        <w:t>:</w:t>
      </w:r>
      <w:r w:rsidRPr="00DF1B01">
        <w:rPr>
          <w:b/>
          <w:bCs/>
        </w:rPr>
        <w:tab/>
      </w:r>
      <w:r w:rsidRPr="004D4991">
        <w:rPr>
          <w:b/>
          <w:bCs/>
          <w:lang w:eastAsia="zh-CN"/>
        </w:rPr>
        <w:t>It is not reasonable that LTE FDD PC2 was tested with full uplink duty cycle but NR FDD PC2 would be further relaxed to be tested with partial uplink duty cycle.</w:t>
      </w:r>
    </w:p>
    <w:p w14:paraId="5FD1117C" w14:textId="375ACBDE" w:rsidR="006F14D3" w:rsidRPr="004D4991" w:rsidRDefault="004D4991" w:rsidP="007A2949">
      <w:pPr>
        <w:jc w:val="left"/>
        <w:rPr>
          <w:lang w:eastAsia="zh-CN"/>
        </w:rPr>
      </w:pPr>
      <w:r>
        <w:rPr>
          <w:rFonts w:hint="eastAsia"/>
          <w:lang w:eastAsia="zh-CN"/>
        </w:rPr>
        <w:t>M</w:t>
      </w:r>
      <w:r>
        <w:rPr>
          <w:lang w:eastAsia="zh-CN"/>
        </w:rPr>
        <w:t xml:space="preserve">oreover, anyhow the FDD UE in the field could transmit with full duty cycle at PC2 power, then </w:t>
      </w:r>
      <w:bookmarkStart w:id="5" w:name="_Hlk213317033"/>
      <w:r>
        <w:rPr>
          <w:lang w:eastAsia="zh-CN"/>
        </w:rPr>
        <w:t>testing FDD with partial uplink duty cycle makes the worst case not verified in conformance test</w:t>
      </w:r>
      <w:bookmarkEnd w:id="5"/>
      <w:r>
        <w:rPr>
          <w:lang w:eastAsia="zh-CN"/>
        </w:rPr>
        <w:t xml:space="preserve">. This </w:t>
      </w:r>
      <w:r w:rsidR="00447879">
        <w:rPr>
          <w:rFonts w:hint="eastAsia"/>
          <w:lang w:eastAsia="zh-CN"/>
        </w:rPr>
        <w:t>is</w:t>
      </w:r>
      <w:r w:rsidR="00447879">
        <w:rPr>
          <w:lang w:eastAsia="zh-CN"/>
        </w:rPr>
        <w:t xml:space="preserve"> </w:t>
      </w:r>
      <w:r>
        <w:rPr>
          <w:lang w:eastAsia="zh-CN"/>
        </w:rPr>
        <w:t>not beneficial for product reliability.</w:t>
      </w:r>
    </w:p>
    <w:p w14:paraId="16B2A3EB" w14:textId="4B8D7422" w:rsidR="004D4991" w:rsidRDefault="004D4991" w:rsidP="004D4991">
      <w:pPr>
        <w:spacing w:after="120"/>
        <w:ind w:left="1418" w:hanging="1418"/>
        <w:rPr>
          <w:b/>
          <w:bCs/>
          <w:lang w:eastAsia="zh-CN"/>
        </w:rPr>
      </w:pPr>
      <w:r>
        <w:rPr>
          <w:b/>
          <w:bCs/>
        </w:rPr>
        <w:t>Observation 3</w:t>
      </w:r>
      <w:r w:rsidRPr="00DF1B01">
        <w:rPr>
          <w:b/>
          <w:bCs/>
        </w:rPr>
        <w:t>:</w:t>
      </w:r>
      <w:r w:rsidRPr="00DF1B01">
        <w:rPr>
          <w:b/>
          <w:bCs/>
        </w:rPr>
        <w:tab/>
      </w:r>
      <w:r>
        <w:rPr>
          <w:b/>
          <w:bCs/>
          <w:lang w:eastAsia="zh-CN"/>
        </w:rPr>
        <w:t>T</w:t>
      </w:r>
      <w:r w:rsidRPr="004D4991">
        <w:rPr>
          <w:b/>
          <w:bCs/>
          <w:lang w:eastAsia="zh-CN"/>
        </w:rPr>
        <w:t>esting FDD with partial uplink duty cycle makes the worst case not verified in conformance test</w:t>
      </w:r>
      <w:r>
        <w:rPr>
          <w:b/>
          <w:bCs/>
          <w:lang w:eastAsia="zh-CN"/>
        </w:rPr>
        <w:t xml:space="preserve"> which may bring product reliability issue</w:t>
      </w:r>
      <w:r w:rsidRPr="004D4991">
        <w:rPr>
          <w:b/>
          <w:bCs/>
          <w:lang w:eastAsia="zh-CN"/>
        </w:rPr>
        <w:t>.</w:t>
      </w:r>
    </w:p>
    <w:p w14:paraId="0AF37DB5" w14:textId="5AF5CC03" w:rsidR="009739DF" w:rsidRPr="004D4991" w:rsidRDefault="004D4991" w:rsidP="007A2949">
      <w:pPr>
        <w:jc w:val="left"/>
        <w:rPr>
          <w:lang w:eastAsia="zh-CN"/>
        </w:rPr>
      </w:pPr>
      <w:r>
        <w:rPr>
          <w:rFonts w:hint="eastAsia"/>
          <w:lang w:eastAsia="zh-CN"/>
        </w:rPr>
        <w:t>T</w:t>
      </w:r>
      <w:r>
        <w:rPr>
          <w:lang w:eastAsia="zh-CN"/>
        </w:rPr>
        <w:t>he basic principle here is that the RAN4 requirement and testing should be aligned with the physical standard</w:t>
      </w:r>
      <w:r w:rsidR="005E7FF7">
        <w:rPr>
          <w:lang w:eastAsia="zh-CN"/>
        </w:rPr>
        <w:t xml:space="preserve">. </w:t>
      </w:r>
    </w:p>
    <w:p w14:paraId="00BFFBD6" w14:textId="578EBFC3" w:rsidR="009739DF" w:rsidRDefault="00891D63" w:rsidP="007A2949">
      <w:pPr>
        <w:jc w:val="left"/>
        <w:rPr>
          <w:lang w:eastAsia="zh-CN"/>
        </w:rPr>
      </w:pPr>
      <w:r>
        <w:rPr>
          <w:lang w:eastAsia="zh-CN"/>
        </w:rPr>
        <w:t xml:space="preserve">Based on above, it is suggested to correct the error on SAR solution in core requirement </w:t>
      </w:r>
      <w:r w:rsidR="00535BD2">
        <w:rPr>
          <w:rFonts w:hint="eastAsia"/>
          <w:lang w:eastAsia="zh-CN"/>
        </w:rPr>
        <w:t>including</w:t>
      </w:r>
      <w:r>
        <w:rPr>
          <w:lang w:eastAsia="zh-CN"/>
        </w:rPr>
        <w:t xml:space="preserve"> duty cycle applicability and corresponding </w:t>
      </w:r>
      <w:r w:rsidR="00132A6C" w:rsidRPr="001D0283">
        <w:rPr>
          <w:lang w:eastAsia="zh-CN"/>
        </w:rPr>
        <w:t>ΔP</w:t>
      </w:r>
      <w:r w:rsidR="00132A6C" w:rsidRPr="001D0283">
        <w:rPr>
          <w:vertAlign w:val="subscript"/>
          <w:lang w:eastAsia="zh-CN"/>
        </w:rPr>
        <w:t>PowerClass</w:t>
      </w:r>
      <w:r>
        <w:rPr>
          <w:lang w:eastAsia="zh-CN"/>
        </w:rPr>
        <w:t xml:space="preserve"> requirement. </w:t>
      </w:r>
      <w:r w:rsidR="00682A04">
        <w:rPr>
          <w:lang w:eastAsia="zh-CN"/>
        </w:rPr>
        <w:t>A compassion CR can be found in [9, R4-2520911].</w:t>
      </w:r>
    </w:p>
    <w:p w14:paraId="608FC27F" w14:textId="271B0AC5" w:rsidR="00891D63" w:rsidRDefault="00891D63" w:rsidP="00891D63">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to correct the </w:t>
      </w:r>
      <w:r w:rsidRPr="00891D63">
        <w:rPr>
          <w:b/>
          <w:bCs/>
          <w:lang w:eastAsia="zh-CN"/>
        </w:rPr>
        <w:t xml:space="preserve">error on SAR solution in core requirement </w:t>
      </w:r>
      <w:r w:rsidR="00535BD2">
        <w:rPr>
          <w:rFonts w:hint="eastAsia"/>
          <w:b/>
          <w:bCs/>
          <w:lang w:eastAsia="zh-CN"/>
        </w:rPr>
        <w:t>including</w:t>
      </w:r>
      <w:r w:rsidRPr="00891D63">
        <w:rPr>
          <w:b/>
          <w:bCs/>
          <w:lang w:eastAsia="zh-CN"/>
        </w:rPr>
        <w:t xml:space="preserve"> duty cycle applicability and corresponding </w:t>
      </w:r>
      <w:r w:rsidR="00132A6C" w:rsidRPr="00132A6C">
        <w:rPr>
          <w:b/>
          <w:bCs/>
          <w:lang w:eastAsia="zh-CN"/>
        </w:rPr>
        <w:t>ΔP</w:t>
      </w:r>
      <w:r w:rsidR="00132A6C" w:rsidRPr="00132A6C">
        <w:rPr>
          <w:b/>
          <w:bCs/>
          <w:vertAlign w:val="subscript"/>
          <w:lang w:eastAsia="zh-CN"/>
        </w:rPr>
        <w:t>PowerClass</w:t>
      </w:r>
      <w:r w:rsidRPr="00891D63">
        <w:rPr>
          <w:b/>
          <w:bCs/>
          <w:lang w:eastAsia="zh-CN"/>
        </w:rPr>
        <w:t xml:space="preserve"> requirement.</w:t>
      </w:r>
      <w:r w:rsidR="00682A04">
        <w:rPr>
          <w:b/>
          <w:bCs/>
          <w:lang w:eastAsia="zh-CN"/>
        </w:rPr>
        <w:t xml:space="preserve"> Refer to Companion CR R4-2520911.</w:t>
      </w:r>
    </w:p>
    <w:p w14:paraId="26C8653E" w14:textId="18EFEAFF" w:rsidR="00891D63" w:rsidRDefault="00535BD2" w:rsidP="007A2949">
      <w:pPr>
        <w:jc w:val="left"/>
        <w:rPr>
          <w:lang w:eastAsia="zh-CN"/>
        </w:rPr>
      </w:pPr>
      <w:r>
        <w:rPr>
          <w:rFonts w:hint="eastAsia"/>
          <w:lang w:eastAsia="zh-CN"/>
        </w:rPr>
        <w:t>I</w:t>
      </w:r>
      <w:r>
        <w:rPr>
          <w:lang w:eastAsia="zh-CN"/>
        </w:rPr>
        <w:t>t should be also noted that the recent discussion was actually brought up by over-heating issue rather than SAR solution. In all previous HPUE discussion, only SAR limitation was involved, thermal limitation and other limitations were not discussed and considered as it is not regulation but product performance and implementation issue.</w:t>
      </w:r>
    </w:p>
    <w:p w14:paraId="4716E658" w14:textId="5A8D7C1A" w:rsidR="00535BD2" w:rsidRPr="00891D63" w:rsidRDefault="00535BD2" w:rsidP="007A2949">
      <w:pPr>
        <w:jc w:val="left"/>
        <w:rPr>
          <w:lang w:eastAsia="zh-CN"/>
        </w:rPr>
      </w:pPr>
      <w:r>
        <w:rPr>
          <w:lang w:eastAsia="zh-CN"/>
        </w:rPr>
        <w:lastRenderedPageBreak/>
        <w:t xml:space="preserve">Now all these limitation factors are mixed in the discussion. </w:t>
      </w:r>
      <w:r>
        <w:rPr>
          <w:rFonts w:hint="eastAsia"/>
          <w:lang w:eastAsia="zh-CN"/>
        </w:rPr>
        <w:t>T</w:t>
      </w:r>
      <w:r>
        <w:rPr>
          <w:lang w:eastAsia="zh-CN"/>
        </w:rPr>
        <w:t>o avoid further confusion, it is suggested to separate the SAR solution from the other output power limitation factors.</w:t>
      </w:r>
    </w:p>
    <w:p w14:paraId="057112A3" w14:textId="3888E3D4" w:rsidR="00535BD2" w:rsidRDefault="00535BD2" w:rsidP="00535BD2">
      <w:pPr>
        <w:spacing w:after="120"/>
        <w:ind w:left="1418" w:hanging="1418"/>
        <w:rPr>
          <w:b/>
          <w:bCs/>
          <w:lang w:eastAsia="zh-CN"/>
        </w:rPr>
      </w:pPr>
      <w:r>
        <w:rPr>
          <w:b/>
          <w:bCs/>
        </w:rPr>
        <w:t>Proposal 2</w:t>
      </w:r>
      <w:r w:rsidRPr="00DF1B01">
        <w:rPr>
          <w:b/>
          <w:bCs/>
        </w:rPr>
        <w:t>:</w:t>
      </w:r>
      <w:r w:rsidRPr="00DF1B01">
        <w:rPr>
          <w:b/>
          <w:bCs/>
        </w:rPr>
        <w:tab/>
      </w:r>
      <w:r>
        <w:rPr>
          <w:b/>
          <w:bCs/>
          <w:lang w:eastAsia="zh-CN"/>
        </w:rPr>
        <w:t xml:space="preserve">RAN4 to </w:t>
      </w:r>
      <w:r w:rsidRPr="00535BD2">
        <w:rPr>
          <w:b/>
          <w:bCs/>
          <w:lang w:eastAsia="zh-CN"/>
        </w:rPr>
        <w:t>separate the</w:t>
      </w:r>
      <w:r>
        <w:rPr>
          <w:b/>
          <w:bCs/>
          <w:lang w:eastAsia="zh-CN"/>
        </w:rPr>
        <w:t xml:space="preserve"> </w:t>
      </w:r>
      <w:r w:rsidRPr="00535BD2">
        <w:rPr>
          <w:b/>
          <w:bCs/>
          <w:lang w:eastAsia="zh-CN"/>
        </w:rPr>
        <w:t>SAR solution</w:t>
      </w:r>
      <w:r>
        <w:rPr>
          <w:b/>
          <w:bCs/>
          <w:lang w:eastAsia="zh-CN"/>
        </w:rPr>
        <w:t xml:space="preserve"> discussion</w:t>
      </w:r>
      <w:r w:rsidRPr="00535BD2">
        <w:rPr>
          <w:b/>
          <w:bCs/>
          <w:lang w:eastAsia="zh-CN"/>
        </w:rPr>
        <w:t xml:space="preserve"> from the other output power limitation factors</w:t>
      </w:r>
      <w:r>
        <w:rPr>
          <w:b/>
          <w:bCs/>
          <w:lang w:eastAsia="zh-CN"/>
        </w:rPr>
        <w:t>, e.g., thermal limitation.</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2612CF90" w14:textId="77777777" w:rsidR="00F94FBD" w:rsidRDefault="00F94FBD" w:rsidP="00F94FBD">
      <w:pPr>
        <w:spacing w:after="120"/>
        <w:ind w:left="1418" w:hanging="1418"/>
        <w:rPr>
          <w:b/>
          <w:bCs/>
          <w:lang w:eastAsia="zh-CN"/>
        </w:rPr>
      </w:pPr>
      <w:r>
        <w:rPr>
          <w:b/>
          <w:bCs/>
        </w:rPr>
        <w:t>Observation 1</w:t>
      </w:r>
      <w:r w:rsidRPr="00DF1B01">
        <w:rPr>
          <w:b/>
          <w:bCs/>
        </w:rPr>
        <w:t>:</w:t>
      </w:r>
      <w:r w:rsidRPr="00DF1B01">
        <w:rPr>
          <w:b/>
          <w:bCs/>
        </w:rPr>
        <w:tab/>
      </w:r>
      <w:r>
        <w:rPr>
          <w:b/>
          <w:bCs/>
          <w:lang w:eastAsia="zh-CN"/>
        </w:rPr>
        <w:t>The misalignment between TR and TS on duty cycle applicability to FDD HPUE is caused by overlook due to the long-time gap between TDD HPUE and FDD HPUE introduction in RAN4.</w:t>
      </w:r>
    </w:p>
    <w:p w14:paraId="656D6A99" w14:textId="77777777" w:rsidR="00F94FBD" w:rsidRDefault="00F94FBD" w:rsidP="00F94FBD">
      <w:pPr>
        <w:spacing w:after="120"/>
        <w:ind w:left="1418" w:hanging="1418"/>
        <w:rPr>
          <w:b/>
          <w:bCs/>
          <w:lang w:eastAsia="zh-CN"/>
        </w:rPr>
      </w:pPr>
      <w:r>
        <w:rPr>
          <w:b/>
          <w:bCs/>
        </w:rPr>
        <w:t>Observation 2</w:t>
      </w:r>
      <w:r w:rsidRPr="00DF1B01">
        <w:rPr>
          <w:b/>
          <w:bCs/>
        </w:rPr>
        <w:t>:</w:t>
      </w:r>
      <w:r w:rsidRPr="00DF1B01">
        <w:rPr>
          <w:b/>
          <w:bCs/>
        </w:rPr>
        <w:tab/>
      </w:r>
      <w:r w:rsidRPr="004D4991">
        <w:rPr>
          <w:b/>
          <w:bCs/>
          <w:lang w:eastAsia="zh-CN"/>
        </w:rPr>
        <w:t>It is not reasonable that LTE FDD PC2 was tested with full uplink duty cycle but NR FDD PC2 would be further relaxed to be tested with partial uplink duty cycle.</w:t>
      </w:r>
    </w:p>
    <w:p w14:paraId="4C697566" w14:textId="77777777" w:rsidR="00F94FBD" w:rsidRDefault="00F94FBD" w:rsidP="00F94FBD">
      <w:pPr>
        <w:spacing w:after="120"/>
        <w:ind w:left="1418" w:hanging="1418"/>
        <w:rPr>
          <w:b/>
          <w:bCs/>
          <w:lang w:eastAsia="zh-CN"/>
        </w:rPr>
      </w:pPr>
      <w:r>
        <w:rPr>
          <w:b/>
          <w:bCs/>
        </w:rPr>
        <w:t>Observation 3</w:t>
      </w:r>
      <w:r w:rsidRPr="00DF1B01">
        <w:rPr>
          <w:b/>
          <w:bCs/>
        </w:rPr>
        <w:t>:</w:t>
      </w:r>
      <w:r w:rsidRPr="00DF1B01">
        <w:rPr>
          <w:b/>
          <w:bCs/>
        </w:rPr>
        <w:tab/>
      </w:r>
      <w:r>
        <w:rPr>
          <w:b/>
          <w:bCs/>
          <w:lang w:eastAsia="zh-CN"/>
        </w:rPr>
        <w:t>T</w:t>
      </w:r>
      <w:r w:rsidRPr="004D4991">
        <w:rPr>
          <w:b/>
          <w:bCs/>
          <w:lang w:eastAsia="zh-CN"/>
        </w:rPr>
        <w:t>esting FDD with partial uplink duty cycle makes the worst case not verified in conformance test</w:t>
      </w:r>
      <w:r>
        <w:rPr>
          <w:b/>
          <w:bCs/>
          <w:lang w:eastAsia="zh-CN"/>
        </w:rPr>
        <w:t xml:space="preserve"> which may bring product reliability issue</w:t>
      </w:r>
      <w:r w:rsidRPr="004D4991">
        <w:rPr>
          <w:b/>
          <w:bCs/>
          <w:lang w:eastAsia="zh-CN"/>
        </w:rPr>
        <w:t>.</w:t>
      </w:r>
    </w:p>
    <w:p w14:paraId="6C4E5A69" w14:textId="77777777" w:rsidR="008904D8" w:rsidRDefault="008904D8" w:rsidP="008904D8">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RAN4 to correct the </w:t>
      </w:r>
      <w:r w:rsidRPr="00891D63">
        <w:rPr>
          <w:b/>
          <w:bCs/>
          <w:lang w:eastAsia="zh-CN"/>
        </w:rPr>
        <w:t xml:space="preserve">error on SAR solution in core requirement </w:t>
      </w:r>
      <w:r>
        <w:rPr>
          <w:rFonts w:hint="eastAsia"/>
          <w:b/>
          <w:bCs/>
          <w:lang w:eastAsia="zh-CN"/>
        </w:rPr>
        <w:t>including</w:t>
      </w:r>
      <w:r w:rsidRPr="00891D63">
        <w:rPr>
          <w:b/>
          <w:bCs/>
          <w:lang w:eastAsia="zh-CN"/>
        </w:rPr>
        <w:t xml:space="preserve"> duty cycle applicability and corresponding </w:t>
      </w:r>
      <w:r w:rsidRPr="00132A6C">
        <w:rPr>
          <w:b/>
          <w:bCs/>
          <w:lang w:eastAsia="zh-CN"/>
        </w:rPr>
        <w:t>ΔP</w:t>
      </w:r>
      <w:r w:rsidRPr="00132A6C">
        <w:rPr>
          <w:b/>
          <w:bCs/>
          <w:vertAlign w:val="subscript"/>
          <w:lang w:eastAsia="zh-CN"/>
        </w:rPr>
        <w:t>PowerClass</w:t>
      </w:r>
      <w:r w:rsidRPr="00891D63">
        <w:rPr>
          <w:b/>
          <w:bCs/>
          <w:lang w:eastAsia="zh-CN"/>
        </w:rPr>
        <w:t xml:space="preserve"> requirement.</w:t>
      </w:r>
      <w:r>
        <w:rPr>
          <w:b/>
          <w:bCs/>
          <w:lang w:eastAsia="zh-CN"/>
        </w:rPr>
        <w:t xml:space="preserve"> Refer to Companion CR R4-2520911.</w:t>
      </w:r>
    </w:p>
    <w:p w14:paraId="7596E738" w14:textId="2F14B51B" w:rsidR="00F8146D" w:rsidRPr="00F94FBD" w:rsidRDefault="00F94FBD" w:rsidP="00587BB2">
      <w:pPr>
        <w:spacing w:after="120"/>
        <w:ind w:left="1418" w:hanging="1418"/>
        <w:rPr>
          <w:lang w:eastAsia="zh-CN"/>
        </w:rPr>
      </w:pPr>
      <w:r>
        <w:rPr>
          <w:b/>
          <w:bCs/>
        </w:rPr>
        <w:t>Proposal 2</w:t>
      </w:r>
      <w:r w:rsidRPr="00DF1B01">
        <w:rPr>
          <w:b/>
          <w:bCs/>
        </w:rPr>
        <w:t>:</w:t>
      </w:r>
      <w:r w:rsidRPr="00DF1B01">
        <w:rPr>
          <w:b/>
          <w:bCs/>
        </w:rPr>
        <w:tab/>
      </w:r>
      <w:r>
        <w:rPr>
          <w:b/>
          <w:bCs/>
          <w:lang w:eastAsia="zh-CN"/>
        </w:rPr>
        <w:t xml:space="preserve">RAN4 to </w:t>
      </w:r>
      <w:r w:rsidRPr="00535BD2">
        <w:rPr>
          <w:b/>
          <w:bCs/>
          <w:lang w:eastAsia="zh-CN"/>
        </w:rPr>
        <w:t>separate the</w:t>
      </w:r>
      <w:r>
        <w:rPr>
          <w:b/>
          <w:bCs/>
          <w:lang w:eastAsia="zh-CN"/>
        </w:rPr>
        <w:t xml:space="preserve"> </w:t>
      </w:r>
      <w:r w:rsidRPr="00535BD2">
        <w:rPr>
          <w:b/>
          <w:bCs/>
          <w:lang w:eastAsia="zh-CN"/>
        </w:rPr>
        <w:t>SAR solution</w:t>
      </w:r>
      <w:r>
        <w:rPr>
          <w:b/>
          <w:bCs/>
          <w:lang w:eastAsia="zh-CN"/>
        </w:rPr>
        <w:t xml:space="preserve"> discussion</w:t>
      </w:r>
      <w:r w:rsidRPr="00535BD2">
        <w:rPr>
          <w:b/>
          <w:bCs/>
          <w:lang w:eastAsia="zh-CN"/>
        </w:rPr>
        <w:t xml:space="preserve"> from the other output power limitation factors</w:t>
      </w:r>
      <w:r>
        <w:rPr>
          <w:b/>
          <w:bCs/>
          <w:lang w:eastAsia="zh-CN"/>
        </w:rPr>
        <w:t>, e.g., thermal limitation.</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3F58EBAD" w14:textId="729FE8AB" w:rsidR="00553F1E" w:rsidRPr="00553F1E" w:rsidRDefault="00D32905" w:rsidP="00553F1E">
      <w:pPr>
        <w:pStyle w:val="aff6"/>
        <w:numPr>
          <w:ilvl w:val="0"/>
          <w:numId w:val="39"/>
        </w:numPr>
        <w:overflowPunct/>
        <w:autoSpaceDE/>
        <w:autoSpaceDN/>
        <w:adjustRightInd/>
        <w:spacing w:line="240" w:lineRule="auto"/>
        <w:ind w:firstLineChars="0"/>
        <w:jc w:val="left"/>
        <w:textAlignment w:val="auto"/>
        <w:rPr>
          <w:lang w:val="en-US"/>
        </w:rPr>
      </w:pPr>
      <w:r w:rsidRPr="00D32905">
        <w:rPr>
          <w:lang w:eastAsia="zh-CN"/>
        </w:rPr>
        <w:t>R4-2511</w:t>
      </w:r>
      <w:r w:rsidR="00206B07">
        <w:rPr>
          <w:lang w:eastAsia="zh-CN"/>
        </w:rPr>
        <w:t>382</w:t>
      </w:r>
      <w:r w:rsidR="00553F1E">
        <w:rPr>
          <w:lang w:eastAsia="zh-CN"/>
        </w:rPr>
        <w:t xml:space="preserve">    </w:t>
      </w:r>
      <w:r w:rsidR="00206B07" w:rsidRPr="00206B07">
        <w:rPr>
          <w:lang w:eastAsia="zh-CN"/>
        </w:rPr>
        <w:t>(NR_PC2_UE_FDD-Core) CR to TS 38.101-1: Addition of missing RMC</w:t>
      </w:r>
      <w:r w:rsidRPr="00D32905">
        <w:rPr>
          <w:lang w:eastAsia="zh-CN"/>
        </w:rPr>
        <w:t xml:space="preserve">, </w:t>
      </w:r>
      <w:r w:rsidR="00206B07" w:rsidRPr="00206B07">
        <w:rPr>
          <w:lang w:eastAsia="zh-CN"/>
        </w:rPr>
        <w:t>Qualcomm Incorporated, Nokia, Huawei</w:t>
      </w:r>
      <w:r w:rsidR="00206B07">
        <w:rPr>
          <w:lang w:eastAsia="zh-CN"/>
        </w:rPr>
        <w:t>,</w:t>
      </w:r>
      <w:r w:rsidR="00206B07" w:rsidRPr="00206B07">
        <w:rPr>
          <w:lang w:eastAsia="zh-CN"/>
        </w:rPr>
        <w:t xml:space="preserve"> </w:t>
      </w:r>
      <w:r w:rsidRPr="00D32905">
        <w:rPr>
          <w:lang w:eastAsia="zh-CN"/>
        </w:rPr>
        <w:t>RAN4#116.</w:t>
      </w:r>
    </w:p>
    <w:p w14:paraId="2D6455D8" w14:textId="22886909" w:rsidR="00553F1E" w:rsidRPr="00BD3A27" w:rsidRDefault="00553F1E" w:rsidP="00553F1E">
      <w:pPr>
        <w:pStyle w:val="aff6"/>
        <w:numPr>
          <w:ilvl w:val="0"/>
          <w:numId w:val="39"/>
        </w:numPr>
        <w:overflowPunct/>
        <w:autoSpaceDE/>
        <w:autoSpaceDN/>
        <w:adjustRightInd/>
        <w:spacing w:line="240" w:lineRule="auto"/>
        <w:ind w:firstLineChars="0"/>
        <w:jc w:val="left"/>
        <w:textAlignment w:val="auto"/>
        <w:rPr>
          <w:lang w:val="en-US"/>
        </w:rPr>
      </w:pPr>
      <w:r w:rsidRPr="00553F1E">
        <w:rPr>
          <w:lang w:val="en-US"/>
        </w:rPr>
        <w:t>R4-2514</w:t>
      </w:r>
      <w:r w:rsidR="00BD3A27">
        <w:rPr>
          <w:lang w:val="en-US"/>
        </w:rPr>
        <w:t>505</w:t>
      </w:r>
      <w:r>
        <w:rPr>
          <w:lang w:eastAsia="zh-CN"/>
        </w:rPr>
        <w:t xml:space="preserve">   </w:t>
      </w:r>
      <w:r w:rsidR="00BD3A27" w:rsidRPr="00BD3A27">
        <w:rPr>
          <w:lang w:eastAsia="zh-CN"/>
        </w:rPr>
        <w:t>On power class requirements applicability and DPC reporting for NR-NTN</w:t>
      </w:r>
      <w:r>
        <w:rPr>
          <w:lang w:eastAsia="zh-CN"/>
        </w:rPr>
        <w:t xml:space="preserve">, </w:t>
      </w:r>
      <w:r w:rsidR="00BD3A27">
        <w:rPr>
          <w:lang w:eastAsia="zh-CN"/>
        </w:rPr>
        <w:t>Ericsson</w:t>
      </w:r>
      <w:r>
        <w:rPr>
          <w:lang w:eastAsia="zh-CN"/>
        </w:rPr>
        <w:t xml:space="preserve">, </w:t>
      </w:r>
      <w:r>
        <w:rPr>
          <w:rFonts w:eastAsia="Malgun Gothic"/>
          <w:lang w:eastAsia="ko-KR"/>
        </w:rPr>
        <w:t>RAN4#116bis</w:t>
      </w:r>
    </w:p>
    <w:p w14:paraId="66324154" w14:textId="4B2C0099" w:rsidR="00BD3A27" w:rsidRPr="004412D7" w:rsidRDefault="00BD3A27" w:rsidP="00AC001D">
      <w:pPr>
        <w:pStyle w:val="aff6"/>
        <w:numPr>
          <w:ilvl w:val="0"/>
          <w:numId w:val="39"/>
        </w:numPr>
        <w:overflowPunct/>
        <w:autoSpaceDE/>
        <w:autoSpaceDN/>
        <w:adjustRightInd/>
        <w:spacing w:line="240" w:lineRule="auto"/>
        <w:ind w:firstLineChars="0"/>
        <w:jc w:val="left"/>
        <w:textAlignment w:val="auto"/>
        <w:rPr>
          <w:lang w:val="en-US"/>
        </w:rPr>
      </w:pPr>
      <w:r w:rsidRPr="00BD3A27">
        <w:rPr>
          <w:lang w:val="en-US"/>
        </w:rPr>
        <w:t>R4-2514506</w:t>
      </w:r>
      <w:r>
        <w:rPr>
          <w:lang w:eastAsia="zh-CN"/>
        </w:rPr>
        <w:t xml:space="preserve">   </w:t>
      </w:r>
      <w:r w:rsidRPr="00BD3A27">
        <w:rPr>
          <w:lang w:eastAsia="zh-CN"/>
        </w:rPr>
        <w:t>Draft CR to 38.101-5 on clarifying the power class requirements applicability</w:t>
      </w:r>
      <w:r>
        <w:rPr>
          <w:lang w:eastAsia="zh-CN"/>
        </w:rPr>
        <w:t xml:space="preserve">, Ericsson, </w:t>
      </w:r>
      <w:r w:rsidRPr="00BD3A27">
        <w:rPr>
          <w:rFonts w:eastAsia="Malgun Gothic"/>
          <w:lang w:eastAsia="ko-KR"/>
        </w:rPr>
        <w:t>RAN4#116bis</w:t>
      </w:r>
    </w:p>
    <w:p w14:paraId="4B150AAB" w14:textId="77777777" w:rsidR="004412D7" w:rsidRPr="00E84D58" w:rsidRDefault="004412D7" w:rsidP="004412D7">
      <w:pPr>
        <w:pStyle w:val="aff6"/>
        <w:numPr>
          <w:ilvl w:val="0"/>
          <w:numId w:val="39"/>
        </w:numPr>
        <w:spacing w:after="0" w:line="240" w:lineRule="auto"/>
        <w:ind w:firstLineChars="0"/>
        <w:rPr>
          <w:rFonts w:ascii="Arial" w:hAnsi="Arial" w:cs="Arial"/>
          <w:iCs/>
          <w:sz w:val="22"/>
          <w:szCs w:val="22"/>
        </w:rPr>
      </w:pPr>
      <w:r w:rsidRPr="00DE02F9">
        <w:rPr>
          <w:sz w:val="22"/>
          <w:szCs w:val="22"/>
        </w:rPr>
        <w:t>https://www.3gpp.org/ftp/tsg_ran/WG4_Radio/TSGR4_116/Inbox/Chair_Notes/Main_Session_Notes/3.Wed/9.R4-2509096_Topic%20summary%20for%20%5B116%5D%5B129%5D%20NR_IoT_NTN_HPUE_part2.docx</w:t>
      </w:r>
    </w:p>
    <w:p w14:paraId="721FDAAD" w14:textId="5DEEA3F9" w:rsidR="004412D7" w:rsidRPr="0010455A" w:rsidRDefault="00F639BE" w:rsidP="00AC001D">
      <w:pPr>
        <w:pStyle w:val="aff6"/>
        <w:numPr>
          <w:ilvl w:val="0"/>
          <w:numId w:val="39"/>
        </w:numPr>
        <w:overflowPunct/>
        <w:autoSpaceDE/>
        <w:autoSpaceDN/>
        <w:adjustRightInd/>
        <w:spacing w:line="240" w:lineRule="auto"/>
        <w:ind w:firstLineChars="0"/>
        <w:jc w:val="left"/>
        <w:textAlignment w:val="auto"/>
        <w:rPr>
          <w:lang w:val="en-US"/>
        </w:rPr>
      </w:pPr>
      <w:r>
        <w:rPr>
          <w:rFonts w:eastAsiaTheme="minorEastAsia" w:hint="eastAsia"/>
          <w:lang w:val="en-US" w:eastAsia="zh-CN"/>
        </w:rPr>
        <w:t>R</w:t>
      </w:r>
      <w:r>
        <w:rPr>
          <w:rFonts w:eastAsiaTheme="minorEastAsia"/>
          <w:lang w:val="en-US" w:eastAsia="zh-CN"/>
        </w:rPr>
        <w:t>4-1805776</w:t>
      </w:r>
      <w:r w:rsidR="004721A3">
        <w:rPr>
          <w:rFonts w:eastAsiaTheme="minorEastAsia"/>
          <w:lang w:val="en-US" w:eastAsia="zh-CN"/>
        </w:rPr>
        <w:t xml:space="preserve">    </w:t>
      </w:r>
      <w:r w:rsidRPr="00F639BE">
        <w:rPr>
          <w:rFonts w:eastAsiaTheme="minorEastAsia"/>
          <w:lang w:val="en-US" w:eastAsia="zh-CN"/>
        </w:rPr>
        <w:t>WF on FR1 HPUE behavior</w:t>
      </w:r>
      <w:r>
        <w:rPr>
          <w:rFonts w:eastAsiaTheme="minorEastAsia"/>
          <w:lang w:val="en-US" w:eastAsia="zh-CN"/>
        </w:rPr>
        <w:t>, CMCC, RAN4#86bis</w:t>
      </w:r>
    </w:p>
    <w:p w14:paraId="27156246" w14:textId="2FB95EEA" w:rsidR="0010455A" w:rsidRPr="00E426F5" w:rsidRDefault="0010455A" w:rsidP="004E7E94">
      <w:pPr>
        <w:pStyle w:val="aff6"/>
        <w:numPr>
          <w:ilvl w:val="0"/>
          <w:numId w:val="39"/>
        </w:numPr>
        <w:overflowPunct/>
        <w:autoSpaceDE/>
        <w:autoSpaceDN/>
        <w:adjustRightInd/>
        <w:spacing w:line="240" w:lineRule="auto"/>
        <w:ind w:firstLineChars="0"/>
        <w:jc w:val="left"/>
        <w:textAlignment w:val="auto"/>
        <w:rPr>
          <w:lang w:val="en-US"/>
        </w:rPr>
      </w:pPr>
      <w:r w:rsidRPr="00F94FBD">
        <w:rPr>
          <w:rFonts w:eastAsiaTheme="minorEastAsia" w:hint="eastAsia"/>
          <w:lang w:val="en-US" w:eastAsia="zh-CN"/>
        </w:rPr>
        <w:t>R</w:t>
      </w:r>
      <w:r w:rsidRPr="00F94FBD">
        <w:rPr>
          <w:rFonts w:eastAsiaTheme="minorEastAsia"/>
          <w:lang w:val="en-US" w:eastAsia="zh-CN"/>
        </w:rPr>
        <w:t xml:space="preserve">4-1805786    </w:t>
      </w:r>
      <w:r w:rsidR="00882717" w:rsidRPr="00F94FBD">
        <w:rPr>
          <w:rFonts w:eastAsiaTheme="minorEastAsia"/>
          <w:lang w:val="en-US" w:eastAsia="zh-CN"/>
        </w:rPr>
        <w:t>LS on the UE capability of maxUplinkDutyCycle for NR FR1 power class 2 UE</w:t>
      </w:r>
      <w:r w:rsidRPr="00F94FBD">
        <w:rPr>
          <w:rFonts w:eastAsiaTheme="minorEastAsia"/>
          <w:lang w:val="en-US" w:eastAsia="zh-CN"/>
        </w:rPr>
        <w:t xml:space="preserve">, </w:t>
      </w:r>
      <w:r w:rsidR="00882717" w:rsidRPr="00F94FBD">
        <w:rPr>
          <w:rFonts w:eastAsiaTheme="minorEastAsia"/>
          <w:lang w:val="en-US" w:eastAsia="zh-CN"/>
        </w:rPr>
        <w:t>to RAN2, from RAN4</w:t>
      </w:r>
      <w:r w:rsidRPr="00F94FBD">
        <w:rPr>
          <w:rFonts w:eastAsiaTheme="minorEastAsia"/>
          <w:lang w:val="en-US" w:eastAsia="zh-CN"/>
        </w:rPr>
        <w:t>, RAN4#86bis</w:t>
      </w:r>
    </w:p>
    <w:p w14:paraId="757B017C" w14:textId="71C27E39" w:rsidR="00E426F5" w:rsidRPr="00E426F5" w:rsidRDefault="00E426F5" w:rsidP="004E7E94">
      <w:pPr>
        <w:pStyle w:val="aff6"/>
        <w:numPr>
          <w:ilvl w:val="0"/>
          <w:numId w:val="39"/>
        </w:numPr>
        <w:overflowPunct/>
        <w:autoSpaceDE/>
        <w:autoSpaceDN/>
        <w:adjustRightInd/>
        <w:spacing w:line="240" w:lineRule="auto"/>
        <w:ind w:firstLineChars="0"/>
        <w:jc w:val="left"/>
        <w:textAlignment w:val="auto"/>
        <w:rPr>
          <w:lang w:val="en-US"/>
        </w:rPr>
      </w:pPr>
      <w:r>
        <w:rPr>
          <w:rFonts w:eastAsiaTheme="minorEastAsia" w:hint="eastAsia"/>
          <w:lang w:val="en-US" w:eastAsia="zh-CN"/>
        </w:rPr>
        <w:t>T</w:t>
      </w:r>
      <w:r>
        <w:rPr>
          <w:rFonts w:eastAsiaTheme="minorEastAsia"/>
          <w:lang w:val="en-US" w:eastAsia="zh-CN"/>
        </w:rPr>
        <w:t xml:space="preserve">R 38.861    </w:t>
      </w:r>
      <w:r w:rsidRPr="00E426F5">
        <w:rPr>
          <w:rFonts w:eastAsiaTheme="minorEastAsia"/>
          <w:lang w:val="en-US" w:eastAsia="zh-CN"/>
        </w:rPr>
        <w:t>Study on high power UE (power class 2) for one NR FDD band</w:t>
      </w:r>
      <w:r>
        <w:rPr>
          <w:rFonts w:eastAsiaTheme="minorEastAsia"/>
          <w:lang w:val="en-US" w:eastAsia="zh-CN"/>
        </w:rPr>
        <w:t>, Rel-17</w:t>
      </w:r>
    </w:p>
    <w:p w14:paraId="14C5980F" w14:textId="00F8EC85" w:rsidR="00E426F5" w:rsidRPr="00E426F5" w:rsidRDefault="00E426F5" w:rsidP="004E7E94">
      <w:pPr>
        <w:pStyle w:val="aff6"/>
        <w:numPr>
          <w:ilvl w:val="0"/>
          <w:numId w:val="39"/>
        </w:numPr>
        <w:overflowPunct/>
        <w:autoSpaceDE/>
        <w:autoSpaceDN/>
        <w:adjustRightInd/>
        <w:spacing w:line="240" w:lineRule="auto"/>
        <w:ind w:firstLineChars="0"/>
        <w:jc w:val="left"/>
        <w:textAlignment w:val="auto"/>
        <w:rPr>
          <w:lang w:val="en-US"/>
        </w:rPr>
      </w:pPr>
      <w:r>
        <w:rPr>
          <w:rFonts w:eastAsiaTheme="minorEastAsia" w:hint="eastAsia"/>
          <w:lang w:val="en-US" w:eastAsia="zh-CN"/>
        </w:rPr>
        <w:t>T</w:t>
      </w:r>
      <w:r>
        <w:rPr>
          <w:rFonts w:eastAsiaTheme="minorEastAsia"/>
          <w:lang w:val="en-US" w:eastAsia="zh-CN"/>
        </w:rPr>
        <w:t xml:space="preserve">R 36.770    </w:t>
      </w:r>
      <w:r w:rsidRPr="00E426F5">
        <w:rPr>
          <w:rFonts w:eastAsiaTheme="minorEastAsia"/>
          <w:lang w:val="en-US" w:eastAsia="zh-CN"/>
        </w:rPr>
        <w:t>High Power UE (Power Class 2) for LTE FDD Band 14</w:t>
      </w:r>
      <w:r>
        <w:rPr>
          <w:rFonts w:eastAsiaTheme="minorEastAsia"/>
          <w:lang w:val="en-US" w:eastAsia="zh-CN"/>
        </w:rPr>
        <w:t>, Rel-18</w:t>
      </w:r>
    </w:p>
    <w:p w14:paraId="68965A91" w14:textId="55AAE7FD" w:rsidR="00E426F5" w:rsidRPr="00F94FBD" w:rsidRDefault="00E426F5" w:rsidP="004E7E94">
      <w:pPr>
        <w:pStyle w:val="aff6"/>
        <w:numPr>
          <w:ilvl w:val="0"/>
          <w:numId w:val="39"/>
        </w:numPr>
        <w:overflowPunct/>
        <w:autoSpaceDE/>
        <w:autoSpaceDN/>
        <w:adjustRightInd/>
        <w:spacing w:line="240" w:lineRule="auto"/>
        <w:ind w:firstLineChars="0"/>
        <w:jc w:val="left"/>
        <w:textAlignment w:val="auto"/>
        <w:rPr>
          <w:lang w:val="en-US"/>
        </w:rPr>
      </w:pPr>
      <w:r>
        <w:rPr>
          <w:rFonts w:eastAsiaTheme="minorEastAsia" w:hint="eastAsia"/>
          <w:lang w:val="en-US" w:eastAsia="zh-CN"/>
        </w:rPr>
        <w:t>R</w:t>
      </w:r>
      <w:r>
        <w:rPr>
          <w:rFonts w:eastAsiaTheme="minorEastAsia"/>
          <w:lang w:val="en-US" w:eastAsia="zh-CN"/>
        </w:rPr>
        <w:t xml:space="preserve">4-2520911    </w:t>
      </w:r>
      <w:r w:rsidRPr="00E426F5">
        <w:rPr>
          <w:rFonts w:eastAsiaTheme="minorEastAsia"/>
          <w:lang w:val="en-US" w:eastAsia="zh-CN"/>
        </w:rPr>
        <w:t>(NR_PC2_UE_FDD) CR for 38.101-1 for HPUE operating in NR FDD bands</w:t>
      </w:r>
      <w:r>
        <w:rPr>
          <w:rFonts w:eastAsiaTheme="minorEastAsia"/>
          <w:lang w:val="en-US" w:eastAsia="zh-CN"/>
        </w:rPr>
        <w:t>, CHTTL, Samsung, RAN4#117</w:t>
      </w:r>
    </w:p>
    <w:sectPr w:rsidR="00E426F5" w:rsidRPr="00F94FB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A5F5D" w14:textId="77777777" w:rsidR="000F71D4" w:rsidRDefault="000F71D4" w:rsidP="00FC2656">
      <w:pPr>
        <w:spacing w:after="0" w:line="240" w:lineRule="auto"/>
      </w:pPr>
      <w:r>
        <w:separator/>
      </w:r>
    </w:p>
  </w:endnote>
  <w:endnote w:type="continuationSeparator" w:id="0">
    <w:p w14:paraId="16E92DC0" w14:textId="77777777" w:rsidR="000F71D4" w:rsidRDefault="000F71D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C4629" w14:textId="77777777" w:rsidR="000F71D4" w:rsidRDefault="000F71D4" w:rsidP="00FC2656">
      <w:pPr>
        <w:spacing w:after="0" w:line="240" w:lineRule="auto"/>
      </w:pPr>
      <w:r>
        <w:separator/>
      </w:r>
    </w:p>
  </w:footnote>
  <w:footnote w:type="continuationSeparator" w:id="0">
    <w:p w14:paraId="1D00F46D" w14:textId="77777777" w:rsidR="000F71D4" w:rsidRDefault="000F71D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35"/>
  </w:num>
  <w:num w:numId="3">
    <w:abstractNumId w:val="34"/>
  </w:num>
  <w:num w:numId="4">
    <w:abstractNumId w:val="11"/>
  </w:num>
  <w:num w:numId="5">
    <w:abstractNumId w:val="32"/>
  </w:num>
  <w:num w:numId="6">
    <w:abstractNumId w:val="29"/>
  </w:num>
  <w:num w:numId="7">
    <w:abstractNumId w:val="27"/>
  </w:num>
  <w:num w:numId="8">
    <w:abstractNumId w:val="31"/>
  </w:num>
  <w:num w:numId="9">
    <w:abstractNumId w:val="36"/>
  </w:num>
  <w:num w:numId="10">
    <w:abstractNumId w:val="18"/>
  </w:num>
  <w:num w:numId="11">
    <w:abstractNumId w:val="20"/>
  </w:num>
  <w:num w:numId="12">
    <w:abstractNumId w:val="4"/>
  </w:num>
  <w:num w:numId="13">
    <w:abstractNumId w:val="25"/>
  </w:num>
  <w:num w:numId="14">
    <w:abstractNumId w:val="2"/>
  </w:num>
  <w:num w:numId="15">
    <w:abstractNumId w:val="28"/>
  </w:num>
  <w:num w:numId="16">
    <w:abstractNumId w:val="1"/>
  </w:num>
  <w:num w:numId="17">
    <w:abstractNumId w:val="24"/>
  </w:num>
  <w:num w:numId="18">
    <w:abstractNumId w:val="15"/>
  </w:num>
  <w:num w:numId="19">
    <w:abstractNumId w:val="26"/>
  </w:num>
  <w:num w:numId="20">
    <w:abstractNumId w:val="3"/>
  </w:num>
  <w:num w:numId="21">
    <w:abstractNumId w:val="41"/>
  </w:num>
  <w:num w:numId="22">
    <w:abstractNumId w:val="14"/>
  </w:num>
  <w:num w:numId="23">
    <w:abstractNumId w:val="13"/>
  </w:num>
  <w:num w:numId="24">
    <w:abstractNumId w:val="6"/>
  </w:num>
  <w:num w:numId="25">
    <w:abstractNumId w:val="37"/>
  </w:num>
  <w:num w:numId="26">
    <w:abstractNumId w:val="16"/>
  </w:num>
  <w:num w:numId="27">
    <w:abstractNumId w:val="38"/>
  </w:num>
  <w:num w:numId="28">
    <w:abstractNumId w:val="17"/>
  </w:num>
  <w:num w:numId="29">
    <w:abstractNumId w:val="21"/>
  </w:num>
  <w:num w:numId="30">
    <w:abstractNumId w:val="22"/>
  </w:num>
  <w:num w:numId="31">
    <w:abstractNumId w:val="8"/>
  </w:num>
  <w:num w:numId="32">
    <w:abstractNumId w:val="30"/>
  </w:num>
  <w:num w:numId="33">
    <w:abstractNumId w:val="23"/>
  </w:num>
  <w:num w:numId="34">
    <w:abstractNumId w:val="7"/>
  </w:num>
  <w:num w:numId="35">
    <w:abstractNumId w:val="5"/>
  </w:num>
  <w:num w:numId="36">
    <w:abstractNumId w:val="0"/>
  </w:num>
  <w:num w:numId="37">
    <w:abstractNumId w:val="9"/>
  </w:num>
  <w:num w:numId="38">
    <w:abstractNumId w:val="10"/>
  </w:num>
  <w:num w:numId="39">
    <w:abstractNumId w:val="39"/>
  </w:num>
  <w:num w:numId="40">
    <w:abstractNumId w:val="12"/>
  </w:num>
  <w:num w:numId="41">
    <w:abstractNumId w:val="33"/>
  </w:num>
  <w:num w:numId="42">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6FE"/>
    <w:rsid w:val="0000707D"/>
    <w:rsid w:val="00007CD5"/>
    <w:rsid w:val="00007D8C"/>
    <w:rsid w:val="00010C85"/>
    <w:rsid w:val="00014BD4"/>
    <w:rsid w:val="0001661A"/>
    <w:rsid w:val="000168EA"/>
    <w:rsid w:val="00020C56"/>
    <w:rsid w:val="0002417E"/>
    <w:rsid w:val="000258D4"/>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249B"/>
    <w:rsid w:val="0005326A"/>
    <w:rsid w:val="00054257"/>
    <w:rsid w:val="00056590"/>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38CB"/>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31D"/>
    <w:rsid w:val="00087548"/>
    <w:rsid w:val="00090C29"/>
    <w:rsid w:val="00092E6B"/>
    <w:rsid w:val="000932A9"/>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069"/>
    <w:rsid w:val="000C2553"/>
    <w:rsid w:val="000C362A"/>
    <w:rsid w:val="000C38C3"/>
    <w:rsid w:val="000C5C42"/>
    <w:rsid w:val="000C69F7"/>
    <w:rsid w:val="000C6E14"/>
    <w:rsid w:val="000C758B"/>
    <w:rsid w:val="000C7E08"/>
    <w:rsid w:val="000D05F6"/>
    <w:rsid w:val="000D09FD"/>
    <w:rsid w:val="000D0F50"/>
    <w:rsid w:val="000D1436"/>
    <w:rsid w:val="000D28BD"/>
    <w:rsid w:val="000D2A11"/>
    <w:rsid w:val="000D44FB"/>
    <w:rsid w:val="000D4CA5"/>
    <w:rsid w:val="000D574B"/>
    <w:rsid w:val="000D629B"/>
    <w:rsid w:val="000D6CD5"/>
    <w:rsid w:val="000D6CFC"/>
    <w:rsid w:val="000D7986"/>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1D4"/>
    <w:rsid w:val="000F7D22"/>
    <w:rsid w:val="0010045C"/>
    <w:rsid w:val="00100AB0"/>
    <w:rsid w:val="0010302B"/>
    <w:rsid w:val="00103628"/>
    <w:rsid w:val="00103909"/>
    <w:rsid w:val="0010455A"/>
    <w:rsid w:val="00104F07"/>
    <w:rsid w:val="001058CD"/>
    <w:rsid w:val="00107210"/>
    <w:rsid w:val="00107927"/>
    <w:rsid w:val="00107A33"/>
    <w:rsid w:val="00107BEB"/>
    <w:rsid w:val="0011088B"/>
    <w:rsid w:val="001109DB"/>
    <w:rsid w:val="00110E26"/>
    <w:rsid w:val="00111321"/>
    <w:rsid w:val="00111EB9"/>
    <w:rsid w:val="00111F0D"/>
    <w:rsid w:val="00112437"/>
    <w:rsid w:val="00112931"/>
    <w:rsid w:val="00112F91"/>
    <w:rsid w:val="00114C3B"/>
    <w:rsid w:val="00116965"/>
    <w:rsid w:val="00117BD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2A6C"/>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A45"/>
    <w:rsid w:val="00155FB1"/>
    <w:rsid w:val="00156036"/>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74C3"/>
    <w:rsid w:val="001975E7"/>
    <w:rsid w:val="001A0023"/>
    <w:rsid w:val="001A033F"/>
    <w:rsid w:val="001A08AA"/>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36DB"/>
    <w:rsid w:val="001C4A89"/>
    <w:rsid w:val="001C528C"/>
    <w:rsid w:val="001C6066"/>
    <w:rsid w:val="001C6160"/>
    <w:rsid w:val="001C6177"/>
    <w:rsid w:val="001C63CA"/>
    <w:rsid w:val="001C7CAD"/>
    <w:rsid w:val="001D0363"/>
    <w:rsid w:val="001D12B4"/>
    <w:rsid w:val="001D4091"/>
    <w:rsid w:val="001D63B1"/>
    <w:rsid w:val="001D6441"/>
    <w:rsid w:val="001D7D94"/>
    <w:rsid w:val="001E01A6"/>
    <w:rsid w:val="001E036A"/>
    <w:rsid w:val="001E0A28"/>
    <w:rsid w:val="001E0E91"/>
    <w:rsid w:val="001E1397"/>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C7"/>
    <w:rsid w:val="001F54E5"/>
    <w:rsid w:val="001F63D9"/>
    <w:rsid w:val="00200A62"/>
    <w:rsid w:val="002013CB"/>
    <w:rsid w:val="00201841"/>
    <w:rsid w:val="002019FF"/>
    <w:rsid w:val="002036D9"/>
    <w:rsid w:val="00203740"/>
    <w:rsid w:val="00204434"/>
    <w:rsid w:val="00205D53"/>
    <w:rsid w:val="002062DB"/>
    <w:rsid w:val="00206B07"/>
    <w:rsid w:val="00206BC6"/>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6382"/>
    <w:rsid w:val="002272D7"/>
    <w:rsid w:val="0023062A"/>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1A4D"/>
    <w:rsid w:val="00252B5C"/>
    <w:rsid w:val="00252DB8"/>
    <w:rsid w:val="002537BC"/>
    <w:rsid w:val="0025548A"/>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9FE"/>
    <w:rsid w:val="00294BDE"/>
    <w:rsid w:val="00294BE4"/>
    <w:rsid w:val="00295695"/>
    <w:rsid w:val="002A0927"/>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1F26"/>
    <w:rsid w:val="002D28FC"/>
    <w:rsid w:val="002D36EB"/>
    <w:rsid w:val="002D3C32"/>
    <w:rsid w:val="002D3D84"/>
    <w:rsid w:val="002D3F4E"/>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9B5"/>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7BCA"/>
    <w:rsid w:val="00307E51"/>
    <w:rsid w:val="00307F57"/>
    <w:rsid w:val="0031096D"/>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4DEF"/>
    <w:rsid w:val="0034550D"/>
    <w:rsid w:val="00347A48"/>
    <w:rsid w:val="00347AA4"/>
    <w:rsid w:val="003511A2"/>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7FA"/>
    <w:rsid w:val="00377DC0"/>
    <w:rsid w:val="003809B0"/>
    <w:rsid w:val="0038106E"/>
    <w:rsid w:val="003812C6"/>
    <w:rsid w:val="00381FCD"/>
    <w:rsid w:val="003835F3"/>
    <w:rsid w:val="00383E37"/>
    <w:rsid w:val="003840DD"/>
    <w:rsid w:val="00384408"/>
    <w:rsid w:val="00385410"/>
    <w:rsid w:val="00387CBD"/>
    <w:rsid w:val="00390994"/>
    <w:rsid w:val="00392097"/>
    <w:rsid w:val="0039260B"/>
    <w:rsid w:val="00392C95"/>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22CE"/>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6893"/>
    <w:rsid w:val="003C6DE2"/>
    <w:rsid w:val="003C7F13"/>
    <w:rsid w:val="003D023A"/>
    <w:rsid w:val="003D076C"/>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11A"/>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AFF"/>
    <w:rsid w:val="004236D7"/>
    <w:rsid w:val="00424F8C"/>
    <w:rsid w:val="00425163"/>
    <w:rsid w:val="004271BA"/>
    <w:rsid w:val="00430497"/>
    <w:rsid w:val="00430EA5"/>
    <w:rsid w:val="004346D3"/>
    <w:rsid w:val="00434DC1"/>
    <w:rsid w:val="004350F4"/>
    <w:rsid w:val="00440017"/>
    <w:rsid w:val="004412A0"/>
    <w:rsid w:val="004412D7"/>
    <w:rsid w:val="00441E53"/>
    <w:rsid w:val="00442081"/>
    <w:rsid w:val="00442337"/>
    <w:rsid w:val="00442714"/>
    <w:rsid w:val="00446408"/>
    <w:rsid w:val="00446AD7"/>
    <w:rsid w:val="00447202"/>
    <w:rsid w:val="00447879"/>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1A3"/>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4633"/>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BA4"/>
    <w:rsid w:val="00495E3B"/>
    <w:rsid w:val="00495EA4"/>
    <w:rsid w:val="0049693D"/>
    <w:rsid w:val="004A1A07"/>
    <w:rsid w:val="004A1E6A"/>
    <w:rsid w:val="004A258E"/>
    <w:rsid w:val="004A37AC"/>
    <w:rsid w:val="004A4062"/>
    <w:rsid w:val="004A495F"/>
    <w:rsid w:val="004A5968"/>
    <w:rsid w:val="004A7544"/>
    <w:rsid w:val="004A75CA"/>
    <w:rsid w:val="004B04C2"/>
    <w:rsid w:val="004B0D8C"/>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991"/>
    <w:rsid w:val="004D4A45"/>
    <w:rsid w:val="004D4AD9"/>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BD2"/>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3F1E"/>
    <w:rsid w:val="00554F0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519C"/>
    <w:rsid w:val="005852B5"/>
    <w:rsid w:val="00585CC1"/>
    <w:rsid w:val="00586940"/>
    <w:rsid w:val="00587BB2"/>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A7219"/>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43D5"/>
    <w:rsid w:val="005D5826"/>
    <w:rsid w:val="005D6D31"/>
    <w:rsid w:val="005D73D4"/>
    <w:rsid w:val="005D7AF8"/>
    <w:rsid w:val="005E17BF"/>
    <w:rsid w:val="005E1E9B"/>
    <w:rsid w:val="005E366A"/>
    <w:rsid w:val="005E4386"/>
    <w:rsid w:val="005E45A4"/>
    <w:rsid w:val="005E471D"/>
    <w:rsid w:val="005E4A0C"/>
    <w:rsid w:val="005E4C2E"/>
    <w:rsid w:val="005E4DDC"/>
    <w:rsid w:val="005E5450"/>
    <w:rsid w:val="005E5CF0"/>
    <w:rsid w:val="005E7832"/>
    <w:rsid w:val="005E7FF7"/>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1B0D"/>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3E45"/>
    <w:rsid w:val="00635BD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8FC"/>
    <w:rsid w:val="00651D02"/>
    <w:rsid w:val="006536FC"/>
    <w:rsid w:val="00654165"/>
    <w:rsid w:val="00654E77"/>
    <w:rsid w:val="0065505B"/>
    <w:rsid w:val="0065747C"/>
    <w:rsid w:val="00657737"/>
    <w:rsid w:val="00665E33"/>
    <w:rsid w:val="006670AC"/>
    <w:rsid w:val="00670A08"/>
    <w:rsid w:val="00670BC1"/>
    <w:rsid w:val="00670FC0"/>
    <w:rsid w:val="00671226"/>
    <w:rsid w:val="00671D2F"/>
    <w:rsid w:val="00672307"/>
    <w:rsid w:val="00672D10"/>
    <w:rsid w:val="00677F3B"/>
    <w:rsid w:val="006808C6"/>
    <w:rsid w:val="00681E33"/>
    <w:rsid w:val="00682668"/>
    <w:rsid w:val="00682A04"/>
    <w:rsid w:val="00686178"/>
    <w:rsid w:val="006865D6"/>
    <w:rsid w:val="00691D8D"/>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6F3"/>
    <w:rsid w:val="006B3CDB"/>
    <w:rsid w:val="006B605B"/>
    <w:rsid w:val="006B6663"/>
    <w:rsid w:val="006B70A8"/>
    <w:rsid w:val="006B72C7"/>
    <w:rsid w:val="006B760B"/>
    <w:rsid w:val="006B7764"/>
    <w:rsid w:val="006B79CC"/>
    <w:rsid w:val="006C0524"/>
    <w:rsid w:val="006C1C3B"/>
    <w:rsid w:val="006C4E43"/>
    <w:rsid w:val="006C5A82"/>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14D3"/>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8F7"/>
    <w:rsid w:val="00714925"/>
    <w:rsid w:val="00714BA6"/>
    <w:rsid w:val="00715463"/>
    <w:rsid w:val="00715EFC"/>
    <w:rsid w:val="00716727"/>
    <w:rsid w:val="00716AC0"/>
    <w:rsid w:val="00717334"/>
    <w:rsid w:val="0072119E"/>
    <w:rsid w:val="00721585"/>
    <w:rsid w:val="007215C3"/>
    <w:rsid w:val="00722A79"/>
    <w:rsid w:val="00722C86"/>
    <w:rsid w:val="007265C2"/>
    <w:rsid w:val="007274AA"/>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2F53"/>
    <w:rsid w:val="007549D3"/>
    <w:rsid w:val="00755526"/>
    <w:rsid w:val="0075680B"/>
    <w:rsid w:val="00757083"/>
    <w:rsid w:val="00760284"/>
    <w:rsid w:val="007605DC"/>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5FAA"/>
    <w:rsid w:val="007763C1"/>
    <w:rsid w:val="00777E82"/>
    <w:rsid w:val="00781359"/>
    <w:rsid w:val="0078148C"/>
    <w:rsid w:val="0078493B"/>
    <w:rsid w:val="00785074"/>
    <w:rsid w:val="00785B4D"/>
    <w:rsid w:val="00786921"/>
    <w:rsid w:val="00790B1C"/>
    <w:rsid w:val="00790DC4"/>
    <w:rsid w:val="00790FD3"/>
    <w:rsid w:val="007920D9"/>
    <w:rsid w:val="007927FF"/>
    <w:rsid w:val="0079280D"/>
    <w:rsid w:val="00792B0C"/>
    <w:rsid w:val="00792D70"/>
    <w:rsid w:val="00794501"/>
    <w:rsid w:val="00795CCD"/>
    <w:rsid w:val="0079701B"/>
    <w:rsid w:val="00797676"/>
    <w:rsid w:val="00797C64"/>
    <w:rsid w:val="007A0938"/>
    <w:rsid w:val="007A1EAA"/>
    <w:rsid w:val="007A265C"/>
    <w:rsid w:val="007A2949"/>
    <w:rsid w:val="007A30A6"/>
    <w:rsid w:val="007A3910"/>
    <w:rsid w:val="007A66A1"/>
    <w:rsid w:val="007A6B51"/>
    <w:rsid w:val="007A70DA"/>
    <w:rsid w:val="007A7407"/>
    <w:rsid w:val="007A79FD"/>
    <w:rsid w:val="007B06E5"/>
    <w:rsid w:val="007B0B9D"/>
    <w:rsid w:val="007B26E3"/>
    <w:rsid w:val="007B3BCD"/>
    <w:rsid w:val="007B4AC8"/>
    <w:rsid w:val="007B4C9F"/>
    <w:rsid w:val="007B5A43"/>
    <w:rsid w:val="007B5A5E"/>
    <w:rsid w:val="007B709B"/>
    <w:rsid w:val="007B70C7"/>
    <w:rsid w:val="007C0B00"/>
    <w:rsid w:val="007C1343"/>
    <w:rsid w:val="007C143E"/>
    <w:rsid w:val="007C1942"/>
    <w:rsid w:val="007C4379"/>
    <w:rsid w:val="007C516F"/>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757"/>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665A"/>
    <w:rsid w:val="00827324"/>
    <w:rsid w:val="00827C62"/>
    <w:rsid w:val="00831E51"/>
    <w:rsid w:val="00832885"/>
    <w:rsid w:val="00832D1C"/>
    <w:rsid w:val="00833FAF"/>
    <w:rsid w:val="00834E84"/>
    <w:rsid w:val="008355EA"/>
    <w:rsid w:val="00835D12"/>
    <w:rsid w:val="00837458"/>
    <w:rsid w:val="00837AAE"/>
    <w:rsid w:val="00837D14"/>
    <w:rsid w:val="00840390"/>
    <w:rsid w:val="00841EA3"/>
    <w:rsid w:val="00842181"/>
    <w:rsid w:val="008429AD"/>
    <w:rsid w:val="008429DB"/>
    <w:rsid w:val="00842BC2"/>
    <w:rsid w:val="00845980"/>
    <w:rsid w:val="00845A96"/>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2717"/>
    <w:rsid w:val="00882762"/>
    <w:rsid w:val="00884611"/>
    <w:rsid w:val="00884648"/>
    <w:rsid w:val="008852E6"/>
    <w:rsid w:val="0088566C"/>
    <w:rsid w:val="008859F0"/>
    <w:rsid w:val="0088602D"/>
    <w:rsid w:val="00886ADC"/>
    <w:rsid w:val="00886D1F"/>
    <w:rsid w:val="00887FB3"/>
    <w:rsid w:val="008904D8"/>
    <w:rsid w:val="0089145A"/>
    <w:rsid w:val="00891D63"/>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590F"/>
    <w:rsid w:val="008A677C"/>
    <w:rsid w:val="008A6A4C"/>
    <w:rsid w:val="008B0103"/>
    <w:rsid w:val="008B014C"/>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62C4"/>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5999"/>
    <w:rsid w:val="009477B0"/>
    <w:rsid w:val="00947E7E"/>
    <w:rsid w:val="0095034A"/>
    <w:rsid w:val="009505E6"/>
    <w:rsid w:val="0095139A"/>
    <w:rsid w:val="00951A66"/>
    <w:rsid w:val="009526AF"/>
    <w:rsid w:val="00952736"/>
    <w:rsid w:val="009532FE"/>
    <w:rsid w:val="00953E16"/>
    <w:rsid w:val="009542AC"/>
    <w:rsid w:val="00954607"/>
    <w:rsid w:val="0095506C"/>
    <w:rsid w:val="00955213"/>
    <w:rsid w:val="0095561F"/>
    <w:rsid w:val="00955936"/>
    <w:rsid w:val="00956AB6"/>
    <w:rsid w:val="0095778A"/>
    <w:rsid w:val="00961BB2"/>
    <w:rsid w:val="00962108"/>
    <w:rsid w:val="00963625"/>
    <w:rsid w:val="009638D6"/>
    <w:rsid w:val="00963966"/>
    <w:rsid w:val="00965E08"/>
    <w:rsid w:val="00970B6F"/>
    <w:rsid w:val="00970EE7"/>
    <w:rsid w:val="0097102B"/>
    <w:rsid w:val="009739DF"/>
    <w:rsid w:val="0097408E"/>
    <w:rsid w:val="00974BB2"/>
    <w:rsid w:val="00974FA7"/>
    <w:rsid w:val="009752A5"/>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277"/>
    <w:rsid w:val="009A15F1"/>
    <w:rsid w:val="009A1DBF"/>
    <w:rsid w:val="009A215D"/>
    <w:rsid w:val="009A2D9B"/>
    <w:rsid w:val="009A36FA"/>
    <w:rsid w:val="009A3ADC"/>
    <w:rsid w:val="009A487D"/>
    <w:rsid w:val="009A510C"/>
    <w:rsid w:val="009A56F9"/>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0166"/>
    <w:rsid w:val="00A81B15"/>
    <w:rsid w:val="00A81EB2"/>
    <w:rsid w:val="00A8264B"/>
    <w:rsid w:val="00A83689"/>
    <w:rsid w:val="00A837FF"/>
    <w:rsid w:val="00A84052"/>
    <w:rsid w:val="00A849AA"/>
    <w:rsid w:val="00A84DC8"/>
    <w:rsid w:val="00A85DBC"/>
    <w:rsid w:val="00A861D3"/>
    <w:rsid w:val="00A86B11"/>
    <w:rsid w:val="00A87C96"/>
    <w:rsid w:val="00A87FEB"/>
    <w:rsid w:val="00A9144C"/>
    <w:rsid w:val="00A92770"/>
    <w:rsid w:val="00A92B06"/>
    <w:rsid w:val="00A93F9F"/>
    <w:rsid w:val="00A9420E"/>
    <w:rsid w:val="00A949E4"/>
    <w:rsid w:val="00A95916"/>
    <w:rsid w:val="00A962DD"/>
    <w:rsid w:val="00A966B6"/>
    <w:rsid w:val="00A97648"/>
    <w:rsid w:val="00AA1CFD"/>
    <w:rsid w:val="00AA2239"/>
    <w:rsid w:val="00AA33D2"/>
    <w:rsid w:val="00AA3DDE"/>
    <w:rsid w:val="00AA41AE"/>
    <w:rsid w:val="00AA7CC3"/>
    <w:rsid w:val="00AB0C57"/>
    <w:rsid w:val="00AB1195"/>
    <w:rsid w:val="00AB166F"/>
    <w:rsid w:val="00AB4182"/>
    <w:rsid w:val="00AB5E72"/>
    <w:rsid w:val="00AB5F4D"/>
    <w:rsid w:val="00AB7486"/>
    <w:rsid w:val="00AB7CDA"/>
    <w:rsid w:val="00AC04D3"/>
    <w:rsid w:val="00AC1178"/>
    <w:rsid w:val="00AC27DB"/>
    <w:rsid w:val="00AC2970"/>
    <w:rsid w:val="00AC5F6F"/>
    <w:rsid w:val="00AC62D4"/>
    <w:rsid w:val="00AC63F2"/>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EDF"/>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40BE"/>
    <w:rsid w:val="00B15131"/>
    <w:rsid w:val="00B15F9C"/>
    <w:rsid w:val="00B16398"/>
    <w:rsid w:val="00B163F8"/>
    <w:rsid w:val="00B17041"/>
    <w:rsid w:val="00B17F98"/>
    <w:rsid w:val="00B20EB3"/>
    <w:rsid w:val="00B21A9F"/>
    <w:rsid w:val="00B2223C"/>
    <w:rsid w:val="00B22F2D"/>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737C"/>
    <w:rsid w:val="00B67BB3"/>
    <w:rsid w:val="00B7037F"/>
    <w:rsid w:val="00B7214D"/>
    <w:rsid w:val="00B73729"/>
    <w:rsid w:val="00B73E24"/>
    <w:rsid w:val="00B74372"/>
    <w:rsid w:val="00B748A9"/>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27"/>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3176"/>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4F2"/>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7"/>
    <w:rsid w:val="00C54E72"/>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740"/>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7A2"/>
    <w:rsid w:val="00CC7B4E"/>
    <w:rsid w:val="00CD0374"/>
    <w:rsid w:val="00CD096B"/>
    <w:rsid w:val="00CD0B96"/>
    <w:rsid w:val="00CD13D3"/>
    <w:rsid w:val="00CD16D8"/>
    <w:rsid w:val="00CD1D26"/>
    <w:rsid w:val="00CD1E7C"/>
    <w:rsid w:val="00CD292F"/>
    <w:rsid w:val="00CD2D05"/>
    <w:rsid w:val="00CD305E"/>
    <w:rsid w:val="00CD307E"/>
    <w:rsid w:val="00CD331F"/>
    <w:rsid w:val="00CD40A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1190"/>
    <w:rsid w:val="00CF1251"/>
    <w:rsid w:val="00CF212D"/>
    <w:rsid w:val="00CF2B67"/>
    <w:rsid w:val="00CF383C"/>
    <w:rsid w:val="00CF4156"/>
    <w:rsid w:val="00CF5550"/>
    <w:rsid w:val="00D0036C"/>
    <w:rsid w:val="00D02EF7"/>
    <w:rsid w:val="00D03D00"/>
    <w:rsid w:val="00D04B45"/>
    <w:rsid w:val="00D04F5F"/>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188C"/>
    <w:rsid w:val="00D32905"/>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9012C"/>
    <w:rsid w:val="00D905CE"/>
    <w:rsid w:val="00D90C0C"/>
    <w:rsid w:val="00D911C2"/>
    <w:rsid w:val="00D92CD6"/>
    <w:rsid w:val="00D93043"/>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5F9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8EC"/>
    <w:rsid w:val="00E00B7F"/>
    <w:rsid w:val="00E01AA6"/>
    <w:rsid w:val="00E01AC9"/>
    <w:rsid w:val="00E01BAA"/>
    <w:rsid w:val="00E01FD0"/>
    <w:rsid w:val="00E0227D"/>
    <w:rsid w:val="00E0237C"/>
    <w:rsid w:val="00E03780"/>
    <w:rsid w:val="00E03ADF"/>
    <w:rsid w:val="00E04A1D"/>
    <w:rsid w:val="00E04B3A"/>
    <w:rsid w:val="00E04B84"/>
    <w:rsid w:val="00E05314"/>
    <w:rsid w:val="00E05DA0"/>
    <w:rsid w:val="00E06466"/>
    <w:rsid w:val="00E06835"/>
    <w:rsid w:val="00E06888"/>
    <w:rsid w:val="00E06FDA"/>
    <w:rsid w:val="00E073DA"/>
    <w:rsid w:val="00E07403"/>
    <w:rsid w:val="00E07819"/>
    <w:rsid w:val="00E106F0"/>
    <w:rsid w:val="00E10F31"/>
    <w:rsid w:val="00E11042"/>
    <w:rsid w:val="00E113CD"/>
    <w:rsid w:val="00E13A89"/>
    <w:rsid w:val="00E13C76"/>
    <w:rsid w:val="00E14EB8"/>
    <w:rsid w:val="00E15E2D"/>
    <w:rsid w:val="00E160A5"/>
    <w:rsid w:val="00E1629C"/>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13E0"/>
    <w:rsid w:val="00E41DC0"/>
    <w:rsid w:val="00E42108"/>
    <w:rsid w:val="00E421F9"/>
    <w:rsid w:val="00E426F5"/>
    <w:rsid w:val="00E4289B"/>
    <w:rsid w:val="00E42FCD"/>
    <w:rsid w:val="00E437AA"/>
    <w:rsid w:val="00E43DCE"/>
    <w:rsid w:val="00E45C7E"/>
    <w:rsid w:val="00E46750"/>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5FC0"/>
    <w:rsid w:val="00E76F8E"/>
    <w:rsid w:val="00E80B23"/>
    <w:rsid w:val="00E80B52"/>
    <w:rsid w:val="00E81726"/>
    <w:rsid w:val="00E822F8"/>
    <w:rsid w:val="00E824C3"/>
    <w:rsid w:val="00E82DCA"/>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107E"/>
    <w:rsid w:val="00EB201F"/>
    <w:rsid w:val="00EB2778"/>
    <w:rsid w:val="00EB3972"/>
    <w:rsid w:val="00EB3B6A"/>
    <w:rsid w:val="00EB4794"/>
    <w:rsid w:val="00EB47C4"/>
    <w:rsid w:val="00EB61AE"/>
    <w:rsid w:val="00EB63C1"/>
    <w:rsid w:val="00EB6872"/>
    <w:rsid w:val="00EB7B2E"/>
    <w:rsid w:val="00EC03D6"/>
    <w:rsid w:val="00EC0B7F"/>
    <w:rsid w:val="00EC1D84"/>
    <w:rsid w:val="00EC31D9"/>
    <w:rsid w:val="00EC322D"/>
    <w:rsid w:val="00EC38D3"/>
    <w:rsid w:val="00EC38DA"/>
    <w:rsid w:val="00EC3F5D"/>
    <w:rsid w:val="00EC42D5"/>
    <w:rsid w:val="00EC4C82"/>
    <w:rsid w:val="00EC5197"/>
    <w:rsid w:val="00EC610C"/>
    <w:rsid w:val="00EC635E"/>
    <w:rsid w:val="00EC6757"/>
    <w:rsid w:val="00EC7D5E"/>
    <w:rsid w:val="00ED0508"/>
    <w:rsid w:val="00ED17DC"/>
    <w:rsid w:val="00ED2F00"/>
    <w:rsid w:val="00ED383A"/>
    <w:rsid w:val="00ED39F8"/>
    <w:rsid w:val="00ED3D43"/>
    <w:rsid w:val="00ED516C"/>
    <w:rsid w:val="00ED53E3"/>
    <w:rsid w:val="00EE1080"/>
    <w:rsid w:val="00EE2A3B"/>
    <w:rsid w:val="00EE4A42"/>
    <w:rsid w:val="00EF02BB"/>
    <w:rsid w:val="00EF188E"/>
    <w:rsid w:val="00EF1EC5"/>
    <w:rsid w:val="00EF2689"/>
    <w:rsid w:val="00EF4C88"/>
    <w:rsid w:val="00EF5278"/>
    <w:rsid w:val="00EF55EB"/>
    <w:rsid w:val="00EF7923"/>
    <w:rsid w:val="00EF7A9D"/>
    <w:rsid w:val="00F00DCC"/>
    <w:rsid w:val="00F01096"/>
    <w:rsid w:val="00F0156F"/>
    <w:rsid w:val="00F02894"/>
    <w:rsid w:val="00F05AC8"/>
    <w:rsid w:val="00F05AE9"/>
    <w:rsid w:val="00F05FF3"/>
    <w:rsid w:val="00F0633E"/>
    <w:rsid w:val="00F06AE2"/>
    <w:rsid w:val="00F07167"/>
    <w:rsid w:val="00F072D8"/>
    <w:rsid w:val="00F07CE0"/>
    <w:rsid w:val="00F103F0"/>
    <w:rsid w:val="00F115F5"/>
    <w:rsid w:val="00F118B0"/>
    <w:rsid w:val="00F13D05"/>
    <w:rsid w:val="00F14693"/>
    <w:rsid w:val="00F1679D"/>
    <w:rsid w:val="00F1682C"/>
    <w:rsid w:val="00F16E6A"/>
    <w:rsid w:val="00F176E1"/>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39BE"/>
    <w:rsid w:val="00F651F0"/>
    <w:rsid w:val="00F65582"/>
    <w:rsid w:val="00F66E75"/>
    <w:rsid w:val="00F67735"/>
    <w:rsid w:val="00F724BC"/>
    <w:rsid w:val="00F7257A"/>
    <w:rsid w:val="00F731BC"/>
    <w:rsid w:val="00F75708"/>
    <w:rsid w:val="00F762C1"/>
    <w:rsid w:val="00F76CCD"/>
    <w:rsid w:val="00F770F5"/>
    <w:rsid w:val="00F77673"/>
    <w:rsid w:val="00F77EB0"/>
    <w:rsid w:val="00F81048"/>
    <w:rsid w:val="00F810C6"/>
    <w:rsid w:val="00F8146D"/>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4FBD"/>
    <w:rsid w:val="00F9670B"/>
    <w:rsid w:val="00F96A3D"/>
    <w:rsid w:val="00F96E2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591"/>
    <w:rsid w:val="00FD7AA7"/>
    <w:rsid w:val="00FD7C4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TFChar">
    <w:name w:val="TF Char"/>
    <w:link w:val="TF"/>
    <w:qFormat/>
    <w:rsid w:val="006B36F3"/>
    <w:rPr>
      <w:rFonts w:ascii="Arial" w:hAnsi="Arial"/>
      <w:b/>
      <w:lang w:val="zh-CN" w:eastAsia="en-US"/>
    </w:rPr>
  </w:style>
  <w:style w:type="character" w:customStyle="1" w:styleId="rynqvb">
    <w:name w:val="rynqvb"/>
    <w:basedOn w:val="a0"/>
    <w:rsid w:val="00D32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1396</TotalTime>
  <Pages>3</Pages>
  <Words>1235</Words>
  <Characters>7045</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231</cp:revision>
  <cp:lastPrinted>2019-04-25T01:09:00Z</cp:lastPrinted>
  <dcterms:created xsi:type="dcterms:W3CDTF">2025-09-26T05:24:00Z</dcterms:created>
  <dcterms:modified xsi:type="dcterms:W3CDTF">2025-11-07T11:11:00Z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